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eastAsia="黑体"/>
          <w:color w:val="000000"/>
          <w:sz w:val="32"/>
          <w:szCs w:val="32"/>
          <w:lang w:eastAsia="zh-CN"/>
        </w:rPr>
      </w:pPr>
      <w:r>
        <w:rPr>
          <w:rFonts w:eastAsia="黑体"/>
          <w:color w:val="000000"/>
          <w:sz w:val="32"/>
          <w:szCs w:val="32"/>
          <w:lang w:eastAsia="zh-CN"/>
        </w:rPr>
        <w:t>附件</w:t>
      </w:r>
      <w:r>
        <w:rPr>
          <w:rFonts w:hint="eastAsia" w:eastAsia="黑体"/>
          <w:color w:val="000000"/>
          <w:sz w:val="32"/>
          <w:szCs w:val="32"/>
          <w:lang w:eastAsia="zh-CN"/>
        </w:rPr>
        <w:t>1</w:t>
      </w:r>
      <w:bookmarkStart w:id="0" w:name="_GoBack"/>
      <w:bookmarkEnd w:id="0"/>
    </w:p>
    <w:p>
      <w:pPr>
        <w:jc w:val="center"/>
        <w:textAlignment w:val="center"/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lang w:eastAsia="zh-CN"/>
        </w:rPr>
        <w:t>部门（单位）整体绩效自评表</w:t>
      </w:r>
    </w:p>
    <w:p>
      <w:pPr>
        <w:jc w:val="center"/>
        <w:textAlignment w:val="center"/>
        <w:rPr>
          <w:rFonts w:eastAsia="方正小标宋简体"/>
          <w:color w:val="000000"/>
          <w:sz w:val="44"/>
          <w:szCs w:val="44"/>
          <w:lang w:eastAsia="zh-CN"/>
        </w:rPr>
      </w:pPr>
    </w:p>
    <w:tbl>
      <w:tblPr>
        <w:tblStyle w:val="4"/>
        <w:tblW w:w="128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"/>
        <w:gridCol w:w="1110"/>
        <w:gridCol w:w="1845"/>
        <w:gridCol w:w="465"/>
        <w:gridCol w:w="570"/>
        <w:gridCol w:w="855"/>
        <w:gridCol w:w="345"/>
        <w:gridCol w:w="984"/>
        <w:gridCol w:w="1026"/>
        <w:gridCol w:w="825"/>
        <w:gridCol w:w="836"/>
        <w:gridCol w:w="1581"/>
        <w:gridCol w:w="1122"/>
        <w:gridCol w:w="9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3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部门（单位）名称</w:t>
            </w:r>
          </w:p>
        </w:tc>
        <w:tc>
          <w:tcPr>
            <w:tcW w:w="91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香河县司法局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3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联系人</w:t>
            </w: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韩金玲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联系电话</w:t>
            </w:r>
          </w:p>
        </w:tc>
        <w:tc>
          <w:tcPr>
            <w:tcW w:w="4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13785594023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3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评价时段</w:t>
            </w:r>
          </w:p>
        </w:tc>
        <w:tc>
          <w:tcPr>
            <w:tcW w:w="91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540" w:firstLineChars="300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9"/>
                <w:rFonts w:eastAsia="仿宋_GB2312"/>
                <w:lang w:eastAsia="zh-CN"/>
              </w:rPr>
              <w:t xml:space="preserve">  2019</w:t>
            </w:r>
            <w:r>
              <w:rPr>
                <w:rStyle w:val="8"/>
                <w:rFonts w:ascii="Times New Roman"/>
                <w:lang w:eastAsia="zh-CN"/>
              </w:rPr>
              <w:t>年</w:t>
            </w:r>
            <w:r>
              <w:rPr>
                <w:rStyle w:val="9"/>
                <w:rFonts w:eastAsia="仿宋_GB2312"/>
                <w:lang w:eastAsia="zh-CN"/>
              </w:rPr>
              <w:t xml:space="preserve"> 1 </w:t>
            </w:r>
            <w:r>
              <w:rPr>
                <w:rStyle w:val="8"/>
                <w:rFonts w:ascii="Times New Roman"/>
                <w:lang w:eastAsia="zh-CN"/>
              </w:rPr>
              <w:t>月</w:t>
            </w:r>
            <w:r>
              <w:rPr>
                <w:rStyle w:val="9"/>
                <w:rFonts w:eastAsia="仿宋_GB2312"/>
                <w:lang w:eastAsia="zh-CN"/>
              </w:rPr>
              <w:t xml:space="preserve">  1 </w:t>
            </w:r>
            <w:r>
              <w:rPr>
                <w:rStyle w:val="8"/>
                <w:rFonts w:ascii="Times New Roman"/>
                <w:lang w:eastAsia="zh-CN"/>
              </w:rPr>
              <w:t>日</w:t>
            </w:r>
            <w:r>
              <w:rPr>
                <w:rStyle w:val="9"/>
                <w:rFonts w:eastAsia="仿宋_GB2312"/>
                <w:lang w:eastAsia="zh-CN"/>
              </w:rPr>
              <w:t xml:space="preserve"> </w:t>
            </w:r>
            <w:r>
              <w:rPr>
                <w:rStyle w:val="8"/>
                <w:rFonts w:ascii="Times New Roman"/>
                <w:lang w:eastAsia="zh-CN"/>
              </w:rPr>
              <w:t>至</w:t>
            </w:r>
            <w:r>
              <w:rPr>
                <w:rStyle w:val="9"/>
                <w:rFonts w:eastAsia="仿宋_GB2312"/>
                <w:lang w:eastAsia="zh-CN"/>
              </w:rPr>
              <w:t xml:space="preserve">  2019</w:t>
            </w:r>
            <w:r>
              <w:rPr>
                <w:rStyle w:val="8"/>
                <w:rFonts w:ascii="Times New Roman"/>
                <w:lang w:eastAsia="zh-CN"/>
              </w:rPr>
              <w:t>年</w:t>
            </w:r>
            <w:r>
              <w:rPr>
                <w:rStyle w:val="9"/>
                <w:rFonts w:eastAsia="仿宋_GB2312"/>
                <w:lang w:eastAsia="zh-CN"/>
              </w:rPr>
              <w:t xml:space="preserve"> 12 </w:t>
            </w:r>
            <w:r>
              <w:rPr>
                <w:rStyle w:val="8"/>
                <w:rFonts w:ascii="Times New Roman"/>
                <w:lang w:eastAsia="zh-CN"/>
              </w:rPr>
              <w:t>月</w:t>
            </w:r>
            <w:r>
              <w:rPr>
                <w:rStyle w:val="9"/>
                <w:rFonts w:eastAsia="仿宋_GB2312"/>
                <w:lang w:eastAsia="zh-CN"/>
              </w:rPr>
              <w:t xml:space="preserve"> 31 </w:t>
            </w:r>
            <w:r>
              <w:rPr>
                <w:rStyle w:val="8"/>
                <w:rFonts w:ascii="Times New Roman"/>
                <w:lang w:eastAsia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4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年度部门（单位）预算执行情况</w:t>
            </w:r>
          </w:p>
        </w:tc>
        <w:tc>
          <w:tcPr>
            <w:tcW w:w="50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预算收入（万元）</w:t>
            </w:r>
          </w:p>
        </w:tc>
        <w:tc>
          <w:tcPr>
            <w:tcW w:w="6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预算支出（万元）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收入科目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年初预算数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调整预算数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决算数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支出科目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年初预算数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调整预算数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决算数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财政拨款收入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1507.83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1181.109344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1181.109344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人员经费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1111.08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865.799449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865.799449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4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上级补助收入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日常公用经费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101.22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93.309054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93.309054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4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事业收入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专项公用支出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295.53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241.219441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150.430895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4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经营收入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专项项目支出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附属单位上缴收入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4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其他收入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4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本年收入合计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1507.83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1181.109344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1181.109344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本年支出合计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1507.83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1200.327944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1109.539398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年度主要任务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重点工作任务名称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重点工作任务完成情况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拟对应安排的重点项目</w:t>
            </w:r>
            <w:r>
              <w:rPr>
                <w:rStyle w:val="9"/>
                <w:rFonts w:eastAsia="仿宋_GB2312"/>
                <w:lang w:eastAsia="zh-CN"/>
              </w:rPr>
              <w:t xml:space="preserve">  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项目完成情况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预算数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（万元）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其中：</w:t>
            </w:r>
          </w:p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财政拨款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执行数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（万元）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其中：财政拨款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3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Style w:val="8"/>
                <w:rFonts w:hint="eastAsia" w:ascii="Times New Roman"/>
                <w:lang w:eastAsia="zh-CN"/>
              </w:rPr>
              <w:t>围绕法治政府建设，全面推进依法行政工作。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完成</w:t>
            </w:r>
            <w:r>
              <w:rPr>
                <w:rStyle w:val="8"/>
                <w:rFonts w:hint="eastAsia" w:ascii="Times New Roman"/>
                <w:lang w:eastAsia="zh-CN"/>
              </w:rPr>
              <w:t>县政府规范性文件的备案审查工作。依法承办</w:t>
            </w:r>
            <w:r>
              <w:rPr>
                <w:rStyle w:val="8"/>
                <w:rFonts w:hint="eastAsia" w:ascii="Times New Roman"/>
                <w:lang w:val="en-US" w:eastAsia="zh-CN"/>
              </w:rPr>
              <w:t>了</w:t>
            </w:r>
            <w:r>
              <w:rPr>
                <w:rStyle w:val="8"/>
                <w:rFonts w:hint="eastAsia" w:ascii="Times New Roman"/>
                <w:lang w:eastAsia="zh-CN"/>
              </w:rPr>
              <w:t>行政复议案件；受县政府委托，代理行政诉讼案件的应诉。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Style w:val="8"/>
                <w:rFonts w:hint="eastAsia" w:ascii="Times New Roman"/>
                <w:lang w:eastAsia="zh-CN"/>
              </w:rPr>
              <w:t xml:space="preserve">行政复议工作经费       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Style w:val="8"/>
                <w:rFonts w:hint="eastAsia" w:ascii="Times New Roman"/>
                <w:lang w:eastAsia="zh-CN"/>
              </w:rPr>
              <w:t>受县政府委托，代理</w:t>
            </w:r>
            <w:r>
              <w:rPr>
                <w:rStyle w:val="8"/>
                <w:rFonts w:hint="eastAsia" w:ascii="Times New Roman"/>
                <w:lang w:val="en-US" w:eastAsia="zh-CN"/>
              </w:rPr>
              <w:t>l</w:t>
            </w:r>
            <w:r>
              <w:rPr>
                <w:rStyle w:val="8"/>
                <w:rFonts w:hint="eastAsia" w:ascii="Times New Roman"/>
                <w:lang w:eastAsia="zh-CN"/>
              </w:rPr>
              <w:t>行政诉讼案件的应诉。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7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 xml:space="preserve">    7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3.40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3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Style w:val="8"/>
                <w:rFonts w:hint="eastAsia" w:ascii="Times New Roman"/>
                <w:lang w:eastAsia="zh-CN"/>
              </w:rPr>
              <w:t>政府法制工作专项经费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完成</w:t>
            </w:r>
            <w:r>
              <w:rPr>
                <w:rStyle w:val="8"/>
                <w:rFonts w:hint="eastAsia" w:ascii="Times New Roman"/>
                <w:lang w:eastAsia="zh-CN"/>
              </w:rPr>
              <w:t>县政府规范性文件的备案审查工作。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8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 xml:space="preserve">    8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7.88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7.88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Style w:val="8"/>
                <w:rFonts w:hint="eastAsia" w:ascii="Times New Roman"/>
                <w:lang w:eastAsia="zh-CN"/>
              </w:rPr>
              <w:t>围绕法治香河建设，深入推进普法依法治理。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Style w:val="8"/>
                <w:rFonts w:hint="eastAsia" w:ascii="Times New Roman"/>
                <w:lang w:eastAsia="zh-CN"/>
              </w:rPr>
              <w:t>拟订</w:t>
            </w:r>
            <w:r>
              <w:rPr>
                <w:rStyle w:val="8"/>
                <w:rFonts w:hint="eastAsia" w:ascii="Times New Roman"/>
                <w:lang w:val="en-US" w:eastAsia="zh-CN"/>
              </w:rPr>
              <w:t>了</w:t>
            </w:r>
            <w:r>
              <w:rPr>
                <w:rStyle w:val="8"/>
                <w:rFonts w:hint="eastAsia" w:ascii="Times New Roman"/>
                <w:lang w:eastAsia="zh-CN"/>
              </w:rPr>
              <w:t>全县法治宣传教育规划，组织实施普法宣传工作；指导</w:t>
            </w:r>
            <w:r>
              <w:rPr>
                <w:rStyle w:val="8"/>
                <w:rFonts w:hint="eastAsia" w:ascii="Times New Roman"/>
                <w:lang w:val="en-US" w:eastAsia="zh-CN"/>
              </w:rPr>
              <w:t>了</w:t>
            </w:r>
            <w:r>
              <w:rPr>
                <w:rStyle w:val="8"/>
                <w:rFonts w:hint="eastAsia" w:ascii="Times New Roman"/>
                <w:lang w:eastAsia="zh-CN"/>
              </w:rPr>
              <w:t>全县依法治理和法治创建工作。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Style w:val="8"/>
                <w:rFonts w:hint="eastAsia" w:ascii="Times New Roman"/>
                <w:lang w:eastAsia="zh-CN"/>
              </w:rPr>
              <w:t>普法宣传经费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在全县范围内开展了法治宣传活动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26.4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180" w:firstLineChars="100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26.4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24.72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24.72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Style w:val="8"/>
                <w:rFonts w:hint="eastAsia" w:ascii="Times New Roman"/>
                <w:lang w:eastAsia="zh-CN"/>
              </w:rPr>
              <w:t>“一村（居）一法律顾问”专项经费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实施开展了</w:t>
            </w:r>
            <w:r>
              <w:rPr>
                <w:rStyle w:val="8"/>
                <w:rFonts w:hint="eastAsia" w:ascii="Times New Roman"/>
                <w:lang w:eastAsia="zh-CN"/>
              </w:rPr>
              <w:t>“一村（居）一法律顾问”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21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360" w:firstLineChars="200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21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0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Style w:val="8"/>
                <w:rFonts w:hint="eastAsia" w:ascii="Times New Roman"/>
                <w:lang w:eastAsia="zh-CN"/>
              </w:rPr>
              <w:t>加强矛盾纠纷排查化解工作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完成了</w:t>
            </w:r>
            <w:r>
              <w:rPr>
                <w:rStyle w:val="8"/>
                <w:rFonts w:hint="eastAsia" w:ascii="Times New Roman"/>
                <w:lang w:eastAsia="zh-CN"/>
              </w:rPr>
              <w:t>全县人民陪审员选任管理工作；</w:t>
            </w:r>
            <w:r>
              <w:rPr>
                <w:rStyle w:val="8"/>
                <w:rFonts w:hint="eastAsia" w:ascii="Times New Roman"/>
                <w:lang w:val="en-US" w:eastAsia="zh-CN"/>
              </w:rPr>
              <w:t>调解了矛盾纠纷。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Style w:val="8"/>
                <w:rFonts w:hint="eastAsia" w:ascii="Times New Roman"/>
                <w:lang w:eastAsia="zh-CN"/>
              </w:rPr>
              <w:t xml:space="preserve">人民调解经费       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深人开展“大排查、早调解、护稳定、迎国庆”专项矛盾纠纷排查活动行动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20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360" w:firstLineChars="200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20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18.80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18.80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Style w:val="8"/>
                <w:rFonts w:hint="eastAsia" w:ascii="Times New Roman"/>
                <w:lang w:eastAsia="zh-CN"/>
              </w:rPr>
              <w:t xml:space="preserve">人民调解“以案定补”工作经费       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组织开展了矛盾纠纷化解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10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360" w:firstLineChars="200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10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0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Style w:val="8"/>
                <w:rFonts w:hint="eastAsia" w:ascii="Times New Roman"/>
                <w:lang w:eastAsia="zh-CN"/>
              </w:rPr>
              <w:t>医调委工作经费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按时支付工作人员工资保险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20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360" w:firstLineChars="200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20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/>
                <w:lang w:val="en-US"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17.05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Style w:val="8"/>
                <w:rFonts w:hint="eastAsia" w:ascii="Times New Roman"/>
                <w:lang w:val="en-US" w:eastAsia="zh-CN"/>
              </w:rPr>
              <w:t>17.05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加强社区矫正和安置帮教工作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完成了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全县社区矫正</w:t>
            </w: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刑满释放人员安置帮教工作。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社区矫正工作经费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实现对社区矫正对象实时监控，实现特殊人群“零失控”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41.6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41.6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37..68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37..68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围绕全县中心工作，扎实推进扫黑除恶专项斗争行动。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对涉黑涉恶矛盾纠纷、社区矫正和刑满释放人员黑恶线索进行了排查、开展了扫黑除恶法治宣传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扫黑除恶专项经费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开展了扫黑除恶法治宣传，涉黑涉恶矛盾纠纷、社区矫正和刑满释放人员黑恶线索进行排查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8.83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8.83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…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围绕人民群众满意，全面推进公共法律服务体系提档升级。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制定</w:t>
            </w: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了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全县公共法律服务体系建设规划并指导实施；</w:t>
            </w: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完成了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全县律师、公证、法律援助、司法鉴定和基层法律服务管理工作。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…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 xml:space="preserve">法律援助工作经费   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加强对法律援助工作的指导，积极维护弱势群体合法权益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25.12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25.12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12.24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12.24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法律援助律师补贴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实施了律师坐班工作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…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公共法律服务中心运行维护费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保障了公共法律服务中心的正常运行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10.48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10.48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7.35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7.35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金额合计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 xml:space="preserve">  204.6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204.6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137.95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137.95</w:t>
            </w:r>
          </w:p>
        </w:tc>
      </w:tr>
    </w:tbl>
    <w:p>
      <w:pPr>
        <w:spacing w:line="40" w:lineRule="exact"/>
      </w:pPr>
    </w:p>
    <w:tbl>
      <w:tblPr>
        <w:tblStyle w:val="4"/>
        <w:tblW w:w="12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534"/>
        <w:gridCol w:w="704"/>
        <w:gridCol w:w="665"/>
        <w:gridCol w:w="784"/>
        <w:gridCol w:w="531"/>
        <w:gridCol w:w="1261"/>
        <w:gridCol w:w="3889"/>
        <w:gridCol w:w="2940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一级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指标</w:t>
            </w: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二级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指标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三级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指标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目标值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自评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实际值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权重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数据来源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指标解释</w:t>
            </w:r>
            <w:r>
              <w:rPr>
                <w:rStyle w:val="9"/>
                <w:rFonts w:eastAsia="仿宋_GB2312"/>
                <w:lang w:eastAsia="zh-CN"/>
              </w:rPr>
              <w:t>*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评分规则*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8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部门管理（</w:t>
            </w:r>
            <w:r>
              <w:rPr>
                <w:rStyle w:val="9"/>
                <w:rFonts w:eastAsia="仿宋_GB2312"/>
                <w:lang w:eastAsia="zh-CN"/>
              </w:rPr>
              <w:t>40</w:t>
            </w:r>
            <w:r>
              <w:rPr>
                <w:rStyle w:val="8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资金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投入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预算完成率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≥95%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92.44%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预算完成率</w:t>
            </w:r>
            <w:r>
              <w:rPr>
                <w:rStyle w:val="9"/>
                <w:rFonts w:eastAsia="仿宋_GB2312"/>
                <w:lang w:eastAsia="zh-CN"/>
              </w:rPr>
              <w:t>=</w:t>
            </w:r>
            <w:r>
              <w:rPr>
                <w:rStyle w:val="8"/>
                <w:rFonts w:ascii="Times New Roman"/>
                <w:lang w:eastAsia="zh-CN"/>
              </w:rPr>
              <w:t>（预算完成数</w:t>
            </w:r>
            <w:r>
              <w:rPr>
                <w:rStyle w:val="9"/>
                <w:rFonts w:eastAsia="仿宋_GB2312"/>
                <w:lang w:eastAsia="zh-CN"/>
              </w:rPr>
              <w:t>/</w:t>
            </w:r>
            <w:r>
              <w:rPr>
                <w:rStyle w:val="8"/>
                <w:rFonts w:ascii="Times New Roman"/>
                <w:lang w:eastAsia="zh-CN"/>
              </w:rPr>
              <w:t>调整预算数）</w:t>
            </w:r>
            <w:r>
              <w:rPr>
                <w:rStyle w:val="9"/>
                <w:rFonts w:eastAsia="仿宋_GB2312"/>
                <w:lang w:eastAsia="zh-CN"/>
              </w:rPr>
              <w:t>×100%</w:t>
            </w:r>
            <w:r>
              <w:rPr>
                <w:rStyle w:val="8"/>
                <w:rFonts w:ascii="Times New Roman"/>
                <w:lang w:eastAsia="zh-CN"/>
              </w:rPr>
              <w:t>。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预算完成数为决算报表中本年支出决算数，调整预算数为决算报表中的本年支出调整预算数。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1.预算完成率大于或等于95%的，得满分；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2.预算完成率小于或等于85%的，得0分；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3.预算完成率在85%—95%之间的，在0分和满分之间计算确定：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得分=（实际值-85%）/10%*权重。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180" w:firstLineChars="100"/>
              <w:jc w:val="both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  <w:jc w:val="center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预算调整率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20.39%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预算调整率</w:t>
            </w:r>
            <w:r>
              <w:rPr>
                <w:rStyle w:val="9"/>
                <w:rFonts w:eastAsia="仿宋_GB2312"/>
                <w:lang w:eastAsia="zh-CN"/>
              </w:rPr>
              <w:t>=</w:t>
            </w:r>
            <w:r>
              <w:rPr>
                <w:rStyle w:val="8"/>
                <w:rFonts w:ascii="Times New Roman"/>
                <w:lang w:eastAsia="zh-CN"/>
              </w:rPr>
              <w:t>（预算调整数</w:t>
            </w:r>
            <w:r>
              <w:rPr>
                <w:rStyle w:val="9"/>
                <w:rFonts w:eastAsia="仿宋_GB2312"/>
                <w:lang w:eastAsia="zh-CN"/>
              </w:rPr>
              <w:t>/</w:t>
            </w:r>
            <w:r>
              <w:rPr>
                <w:rStyle w:val="8"/>
                <w:rFonts w:ascii="Times New Roman"/>
                <w:lang w:eastAsia="zh-CN"/>
              </w:rPr>
              <w:t>年初预算数）</w:t>
            </w:r>
            <w:r>
              <w:rPr>
                <w:rStyle w:val="9"/>
                <w:rFonts w:eastAsia="仿宋_GB2312"/>
                <w:lang w:eastAsia="zh-CN"/>
              </w:rPr>
              <w:t>×100%</w:t>
            </w:r>
            <w:r>
              <w:rPr>
                <w:rStyle w:val="8"/>
                <w:rFonts w:ascii="Times New Roman"/>
                <w:lang w:eastAsia="zh-CN"/>
              </w:rPr>
              <w:t>。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预算调整数：部门（单位）在本年度内涉及预算的追加、追减或结构调整的资金总和（因落实国家政策、发生不可抗力、上级部门或本级党委政府临时交办而产生的调整除外）。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1.预算调整率等于0的，得满分；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2.预算调整率增幅或降幅大于等于5%的，得0分；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3.预算调整率在0—5%之间的，在0分和满分之间计算确定：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得分=（5%-|实际值|）/5%*权重；|实际值|为实际值的绝对值。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 xml:space="preserve"> 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 w:hRule="atLeast"/>
          <w:jc w:val="center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支出进度率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≥100%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77.67%</w:t>
            </w:r>
          </w:p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预算管理一体化平台、部门决算报表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支付进度率</w:t>
            </w:r>
            <w:r>
              <w:rPr>
                <w:rStyle w:val="9"/>
                <w:rFonts w:eastAsia="仿宋_GB2312"/>
                <w:lang w:eastAsia="zh-CN"/>
              </w:rPr>
              <w:t>=</w:t>
            </w:r>
            <w:r>
              <w:rPr>
                <w:rStyle w:val="8"/>
                <w:rFonts w:ascii="Times New Roman"/>
                <w:lang w:eastAsia="zh-CN"/>
              </w:rPr>
              <w:t>（</w:t>
            </w:r>
            <w:r>
              <w:rPr>
                <w:rStyle w:val="9"/>
                <w:rFonts w:eastAsia="仿宋_GB2312"/>
                <w:lang w:eastAsia="zh-CN"/>
              </w:rPr>
              <w:t>6</w:t>
            </w:r>
            <w:r>
              <w:rPr>
                <w:rStyle w:val="8"/>
                <w:rFonts w:ascii="Times New Roman"/>
                <w:lang w:eastAsia="zh-CN"/>
              </w:rPr>
              <w:t>月末实际支付进度</w:t>
            </w:r>
            <w:r>
              <w:rPr>
                <w:rStyle w:val="9"/>
                <w:rFonts w:eastAsia="仿宋_GB2312"/>
                <w:lang w:eastAsia="zh-CN"/>
              </w:rPr>
              <w:t>/6</w:t>
            </w:r>
            <w:r>
              <w:rPr>
                <w:rStyle w:val="8"/>
                <w:rFonts w:ascii="Times New Roman"/>
                <w:lang w:eastAsia="zh-CN"/>
              </w:rPr>
              <w:t>月末序时支付进度）</w:t>
            </w:r>
            <w:r>
              <w:rPr>
                <w:rStyle w:val="9"/>
                <w:rFonts w:eastAsia="仿宋_GB2312"/>
                <w:lang w:eastAsia="zh-CN"/>
              </w:rPr>
              <w:t>×1/6+</w:t>
            </w:r>
            <w:r>
              <w:rPr>
                <w:rStyle w:val="8"/>
                <w:rFonts w:ascii="Times New Roman"/>
                <w:lang w:eastAsia="zh-CN"/>
              </w:rPr>
              <w:t>（</w:t>
            </w:r>
            <w:r>
              <w:rPr>
                <w:rStyle w:val="9"/>
                <w:rFonts w:eastAsia="仿宋_GB2312"/>
                <w:lang w:eastAsia="zh-CN"/>
              </w:rPr>
              <w:t>9</w:t>
            </w:r>
            <w:r>
              <w:rPr>
                <w:rStyle w:val="8"/>
                <w:rFonts w:ascii="Times New Roman"/>
                <w:lang w:eastAsia="zh-CN"/>
              </w:rPr>
              <w:t>月末实际支付进度</w:t>
            </w:r>
            <w:r>
              <w:rPr>
                <w:rStyle w:val="9"/>
                <w:rFonts w:eastAsia="仿宋_GB2312"/>
                <w:lang w:eastAsia="zh-CN"/>
              </w:rPr>
              <w:t>/9</w:t>
            </w:r>
            <w:r>
              <w:rPr>
                <w:rStyle w:val="8"/>
                <w:rFonts w:ascii="Times New Roman"/>
                <w:lang w:eastAsia="zh-CN"/>
              </w:rPr>
              <w:t>月末序时支付进度）</w:t>
            </w:r>
            <w:r>
              <w:rPr>
                <w:rStyle w:val="9"/>
                <w:rFonts w:eastAsia="仿宋_GB2312"/>
                <w:lang w:eastAsia="zh-CN"/>
              </w:rPr>
              <w:t>×1/6+</w:t>
            </w:r>
            <w:r>
              <w:rPr>
                <w:rStyle w:val="8"/>
                <w:rFonts w:ascii="Times New Roman"/>
                <w:lang w:eastAsia="zh-CN"/>
              </w:rPr>
              <w:t>（</w:t>
            </w:r>
            <w:r>
              <w:rPr>
                <w:rStyle w:val="9"/>
                <w:rFonts w:eastAsia="仿宋_GB2312"/>
                <w:lang w:eastAsia="zh-CN"/>
              </w:rPr>
              <w:t>11</w:t>
            </w:r>
            <w:r>
              <w:rPr>
                <w:rStyle w:val="8"/>
                <w:rFonts w:ascii="Times New Roman"/>
                <w:lang w:eastAsia="zh-CN"/>
              </w:rPr>
              <w:t>月末实际支付进度</w:t>
            </w:r>
            <w:r>
              <w:rPr>
                <w:rStyle w:val="9"/>
                <w:rFonts w:eastAsia="仿宋_GB2312"/>
                <w:lang w:eastAsia="zh-CN"/>
              </w:rPr>
              <w:t>/11</w:t>
            </w:r>
            <w:r>
              <w:rPr>
                <w:rStyle w:val="8"/>
                <w:rFonts w:ascii="Times New Roman"/>
                <w:lang w:eastAsia="zh-CN"/>
              </w:rPr>
              <w:t>月末序时支付进度）</w:t>
            </w:r>
            <w:r>
              <w:rPr>
                <w:rStyle w:val="9"/>
                <w:rFonts w:eastAsia="仿宋_GB2312"/>
                <w:lang w:eastAsia="zh-CN"/>
              </w:rPr>
              <w:t>×1/6+</w:t>
            </w:r>
            <w:r>
              <w:rPr>
                <w:rStyle w:val="8"/>
                <w:rFonts w:ascii="Times New Roman"/>
                <w:lang w:eastAsia="zh-CN"/>
              </w:rPr>
              <w:t>（</w:t>
            </w:r>
            <w:r>
              <w:rPr>
                <w:rStyle w:val="9"/>
                <w:rFonts w:eastAsia="仿宋_GB2312"/>
                <w:lang w:eastAsia="zh-CN"/>
              </w:rPr>
              <w:t>12</w:t>
            </w:r>
            <w:r>
              <w:rPr>
                <w:rStyle w:val="8"/>
                <w:rFonts w:ascii="Times New Roman"/>
                <w:lang w:eastAsia="zh-CN"/>
              </w:rPr>
              <w:t>月末实际支付进度</w:t>
            </w:r>
            <w:r>
              <w:rPr>
                <w:rStyle w:val="9"/>
                <w:rFonts w:eastAsia="仿宋_GB2312"/>
                <w:lang w:eastAsia="zh-CN"/>
              </w:rPr>
              <w:t>/95%</w:t>
            </w:r>
            <w:r>
              <w:rPr>
                <w:rStyle w:val="8"/>
                <w:rFonts w:ascii="Times New Roman"/>
                <w:lang w:eastAsia="zh-CN"/>
              </w:rPr>
              <w:t>）</w:t>
            </w:r>
            <w:r>
              <w:rPr>
                <w:rStyle w:val="9"/>
                <w:rFonts w:eastAsia="仿宋_GB2312"/>
                <w:lang w:eastAsia="zh-CN"/>
              </w:rPr>
              <w:t>×1/2</w:t>
            </w:r>
            <w:r>
              <w:rPr>
                <w:rStyle w:val="10"/>
                <w:rFonts w:hint="default" w:ascii="Times New Roman" w:hAnsi="Times New Roman" w:eastAsia="仿宋_GB2312"/>
                <w:lang w:eastAsia="zh-CN"/>
              </w:rPr>
              <w:t>。</w:t>
            </w:r>
          </w:p>
          <w:p>
            <w:pPr>
              <w:jc w:val="both"/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实际支付进度是指部门（单位）在某一时点的支出预算执行总数与调整预算数的比率。</w:t>
            </w:r>
            <w:r>
              <w:rPr>
                <w:rStyle w:val="9"/>
                <w:rFonts w:eastAsia="仿宋_GB2312"/>
                <w:lang w:eastAsia="zh-CN"/>
              </w:rPr>
              <w:t>6</w:t>
            </w:r>
            <w:r>
              <w:rPr>
                <w:rStyle w:val="8"/>
                <w:rFonts w:ascii="Times New Roman"/>
                <w:lang w:eastAsia="zh-CN"/>
              </w:rPr>
              <w:t>月末序时支付进度</w:t>
            </w:r>
            <w:r>
              <w:rPr>
                <w:rStyle w:val="9"/>
                <w:rFonts w:eastAsia="仿宋_GB2312"/>
                <w:lang w:eastAsia="zh-CN"/>
              </w:rPr>
              <w:t>=6/12</w:t>
            </w:r>
            <w:r>
              <w:rPr>
                <w:rStyle w:val="8"/>
                <w:rFonts w:ascii="Times New Roman"/>
                <w:lang w:eastAsia="zh-CN"/>
              </w:rPr>
              <w:t>；</w:t>
            </w:r>
            <w:r>
              <w:rPr>
                <w:rStyle w:val="9"/>
                <w:rFonts w:eastAsia="仿宋_GB2312"/>
                <w:lang w:eastAsia="zh-CN"/>
              </w:rPr>
              <w:t>9</w:t>
            </w:r>
            <w:r>
              <w:rPr>
                <w:rStyle w:val="8"/>
                <w:rFonts w:ascii="Times New Roman"/>
                <w:lang w:eastAsia="zh-CN"/>
              </w:rPr>
              <w:t>月末序时支付进度</w:t>
            </w:r>
            <w:r>
              <w:rPr>
                <w:rStyle w:val="9"/>
                <w:rFonts w:eastAsia="仿宋_GB2312"/>
                <w:lang w:eastAsia="zh-CN"/>
              </w:rPr>
              <w:t>=9/12</w:t>
            </w:r>
            <w:r>
              <w:rPr>
                <w:rStyle w:val="8"/>
                <w:rFonts w:ascii="Times New Roman"/>
                <w:lang w:eastAsia="zh-CN"/>
              </w:rPr>
              <w:t>；</w:t>
            </w:r>
            <w:r>
              <w:rPr>
                <w:rStyle w:val="9"/>
                <w:rFonts w:eastAsia="仿宋_GB2312"/>
                <w:lang w:eastAsia="zh-CN"/>
              </w:rPr>
              <w:t>11</w:t>
            </w:r>
            <w:r>
              <w:rPr>
                <w:rStyle w:val="8"/>
                <w:rFonts w:ascii="Times New Roman"/>
                <w:lang w:eastAsia="zh-CN"/>
              </w:rPr>
              <w:t>月末序时支付进度</w:t>
            </w:r>
            <w:r>
              <w:rPr>
                <w:rStyle w:val="9"/>
                <w:rFonts w:eastAsia="仿宋_GB2312"/>
                <w:lang w:eastAsia="zh-CN"/>
              </w:rPr>
              <w:t>=11/12</w:t>
            </w:r>
            <w:r>
              <w:rPr>
                <w:rStyle w:val="8"/>
                <w:rFonts w:ascii="Times New Roman"/>
                <w:lang w:eastAsia="zh-CN"/>
              </w:rPr>
              <w:t>；</w:t>
            </w:r>
            <w:r>
              <w:rPr>
                <w:rStyle w:val="9"/>
                <w:rFonts w:eastAsia="仿宋_GB2312"/>
                <w:lang w:eastAsia="zh-CN"/>
              </w:rPr>
              <w:t>12</w:t>
            </w:r>
            <w:r>
              <w:rPr>
                <w:rStyle w:val="8"/>
                <w:rFonts w:ascii="Times New Roman"/>
                <w:lang w:eastAsia="zh-CN"/>
              </w:rPr>
              <w:t>月末序时支付进度</w:t>
            </w:r>
            <w:r>
              <w:rPr>
                <w:rStyle w:val="9"/>
                <w:rFonts w:eastAsia="仿宋_GB2312"/>
                <w:lang w:eastAsia="zh-CN"/>
              </w:rPr>
              <w:t>=95%</w:t>
            </w:r>
            <w:r>
              <w:rPr>
                <w:rStyle w:val="10"/>
                <w:rFonts w:hint="default" w:ascii="Times New Roman" w:hAnsi="Times New Roman" w:eastAsia="仿宋_GB2312"/>
                <w:lang w:eastAsia="zh-CN"/>
              </w:rPr>
              <w:t>。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考察资金范围=上年结转结余资金+2019年度预算资金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1.支付进度率大于或等100%的，得满分；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2.支付进度率小于或等于60%的，不得分；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3.支付进度率在60%—100%之间的，在0分和满分之间计算确定：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得分=（实际值-60%）/40%*权重。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 xml:space="preserve">  1.77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9"/>
                <w:rFonts w:eastAsia="仿宋_GB2312"/>
                <w:lang w:eastAsia="zh-CN"/>
              </w:rPr>
              <w:t>“</w:t>
            </w:r>
            <w:r>
              <w:rPr>
                <w:rStyle w:val="8"/>
                <w:rFonts w:ascii="Times New Roman"/>
                <w:lang w:eastAsia="zh-CN"/>
              </w:rPr>
              <w:t>三公经费</w:t>
            </w:r>
            <w:r>
              <w:rPr>
                <w:rStyle w:val="9"/>
                <w:rFonts w:eastAsia="仿宋_GB2312"/>
                <w:lang w:eastAsia="zh-CN"/>
              </w:rPr>
              <w:t>”</w:t>
            </w:r>
            <w:r>
              <w:rPr>
                <w:rStyle w:val="8"/>
                <w:rFonts w:ascii="Times New Roman"/>
                <w:lang w:eastAsia="zh-CN"/>
              </w:rPr>
              <w:t>变动率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9"/>
                <w:rFonts w:eastAsia="仿宋_GB2312"/>
                <w:lang w:eastAsia="zh-CN"/>
              </w:rPr>
              <w:t>≤0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2.72%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9"/>
                <w:rFonts w:eastAsia="仿宋_GB2312"/>
                <w:lang w:eastAsia="zh-CN"/>
              </w:rPr>
              <w:t>“</w:t>
            </w:r>
            <w:r>
              <w:rPr>
                <w:rStyle w:val="8"/>
                <w:rFonts w:ascii="Times New Roman"/>
                <w:lang w:eastAsia="zh-CN"/>
              </w:rPr>
              <w:t>三公经费</w:t>
            </w:r>
            <w:r>
              <w:rPr>
                <w:rStyle w:val="9"/>
                <w:rFonts w:eastAsia="仿宋_GB2312"/>
                <w:lang w:eastAsia="zh-CN"/>
              </w:rPr>
              <w:t>”</w:t>
            </w:r>
            <w:r>
              <w:rPr>
                <w:rStyle w:val="8"/>
                <w:rFonts w:ascii="Times New Roman"/>
                <w:lang w:eastAsia="zh-CN"/>
              </w:rPr>
              <w:t>变动率</w:t>
            </w:r>
            <w:r>
              <w:rPr>
                <w:rStyle w:val="9"/>
                <w:rFonts w:eastAsia="仿宋_GB2312"/>
                <w:lang w:eastAsia="zh-CN"/>
              </w:rPr>
              <w:t>=[</w:t>
            </w:r>
            <w:r>
              <w:rPr>
                <w:rStyle w:val="8"/>
                <w:rFonts w:ascii="Times New Roman"/>
                <w:lang w:eastAsia="zh-CN"/>
              </w:rPr>
              <w:t>（本年度</w:t>
            </w:r>
            <w:r>
              <w:rPr>
                <w:rStyle w:val="9"/>
                <w:rFonts w:eastAsia="仿宋_GB2312"/>
                <w:lang w:eastAsia="zh-CN"/>
              </w:rPr>
              <w:t>“</w:t>
            </w:r>
            <w:r>
              <w:rPr>
                <w:rStyle w:val="8"/>
                <w:rFonts w:ascii="Times New Roman"/>
                <w:lang w:eastAsia="zh-CN"/>
              </w:rPr>
              <w:t>三公经费</w:t>
            </w:r>
            <w:r>
              <w:rPr>
                <w:rStyle w:val="9"/>
                <w:rFonts w:eastAsia="仿宋_GB2312"/>
                <w:lang w:eastAsia="zh-CN"/>
              </w:rPr>
              <w:t>”</w:t>
            </w:r>
            <w:r>
              <w:rPr>
                <w:rStyle w:val="8"/>
                <w:rFonts w:ascii="Times New Roman"/>
                <w:lang w:eastAsia="zh-CN"/>
              </w:rPr>
              <w:t>支出总额</w:t>
            </w:r>
            <w:r>
              <w:rPr>
                <w:rStyle w:val="9"/>
                <w:rFonts w:eastAsia="仿宋_GB2312"/>
                <w:lang w:eastAsia="zh-CN"/>
              </w:rPr>
              <w:t>-</w:t>
            </w:r>
            <w:r>
              <w:rPr>
                <w:rStyle w:val="8"/>
                <w:rFonts w:ascii="Times New Roman"/>
                <w:lang w:eastAsia="zh-CN"/>
              </w:rPr>
              <w:t>上年度</w:t>
            </w:r>
            <w:r>
              <w:rPr>
                <w:rStyle w:val="9"/>
                <w:rFonts w:eastAsia="仿宋_GB2312"/>
                <w:lang w:eastAsia="zh-CN"/>
              </w:rPr>
              <w:t>“</w:t>
            </w:r>
            <w:r>
              <w:rPr>
                <w:rStyle w:val="8"/>
                <w:rFonts w:ascii="Times New Roman"/>
                <w:lang w:eastAsia="zh-CN"/>
              </w:rPr>
              <w:t>三公经费</w:t>
            </w:r>
            <w:r>
              <w:rPr>
                <w:rStyle w:val="9"/>
                <w:rFonts w:eastAsia="仿宋_GB2312"/>
                <w:lang w:eastAsia="zh-CN"/>
              </w:rPr>
              <w:t>”</w:t>
            </w:r>
            <w:r>
              <w:rPr>
                <w:rStyle w:val="8"/>
                <w:rFonts w:ascii="Times New Roman"/>
                <w:lang w:eastAsia="zh-CN"/>
              </w:rPr>
              <w:t>支出总额）</w:t>
            </w:r>
            <w:r>
              <w:rPr>
                <w:rStyle w:val="9"/>
                <w:rFonts w:eastAsia="仿宋_GB2312"/>
                <w:lang w:eastAsia="zh-CN"/>
              </w:rPr>
              <w:t>/</w:t>
            </w:r>
            <w:r>
              <w:rPr>
                <w:rStyle w:val="8"/>
                <w:rFonts w:ascii="Times New Roman"/>
                <w:lang w:eastAsia="zh-CN"/>
              </w:rPr>
              <w:t>上年度</w:t>
            </w:r>
            <w:r>
              <w:rPr>
                <w:rStyle w:val="9"/>
                <w:rFonts w:eastAsia="仿宋_GB2312"/>
                <w:lang w:eastAsia="zh-CN"/>
              </w:rPr>
              <w:t>“</w:t>
            </w:r>
            <w:r>
              <w:rPr>
                <w:rStyle w:val="8"/>
                <w:rFonts w:ascii="Times New Roman"/>
                <w:lang w:eastAsia="zh-CN"/>
              </w:rPr>
              <w:t>三公经费</w:t>
            </w:r>
            <w:r>
              <w:rPr>
                <w:rStyle w:val="9"/>
                <w:rFonts w:eastAsia="仿宋_GB2312"/>
                <w:lang w:eastAsia="zh-CN"/>
              </w:rPr>
              <w:t>”</w:t>
            </w:r>
            <w:r>
              <w:rPr>
                <w:rStyle w:val="8"/>
                <w:rFonts w:ascii="Times New Roman"/>
                <w:lang w:eastAsia="zh-CN"/>
              </w:rPr>
              <w:t>支出总额</w:t>
            </w:r>
            <w:r>
              <w:rPr>
                <w:rStyle w:val="9"/>
                <w:rFonts w:eastAsia="仿宋_GB2312"/>
                <w:lang w:eastAsia="zh-CN"/>
              </w:rPr>
              <w:t>]×100%</w:t>
            </w:r>
            <w:r>
              <w:rPr>
                <w:rStyle w:val="8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实际值小于等于0得满分，每增加1%扣权重分的10%，扣完为止。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180" w:firstLineChars="100"/>
              <w:jc w:val="both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结转结余变动率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9"/>
                <w:rFonts w:eastAsia="仿宋_GB2312"/>
                <w:lang w:eastAsia="zh-CN"/>
              </w:rPr>
              <w:t>≤0</w:t>
            </w:r>
            <w:r>
              <w:rPr>
                <w:rStyle w:val="8"/>
                <w:rFonts w:ascii="Times New Roman"/>
                <w:lang w:eastAsia="zh-CN"/>
              </w:rPr>
              <w:t>　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372.40%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结转结余变动率</w:t>
            </w:r>
            <w:r>
              <w:rPr>
                <w:rStyle w:val="9"/>
                <w:rFonts w:eastAsia="仿宋_GB2312"/>
                <w:lang w:eastAsia="zh-CN"/>
              </w:rPr>
              <w:t>=</w:t>
            </w:r>
            <w:r>
              <w:rPr>
                <w:rStyle w:val="8"/>
                <w:rFonts w:ascii="Times New Roman"/>
                <w:lang w:eastAsia="zh-CN"/>
              </w:rPr>
              <w:t>（本年度累计结转结余资金总额</w:t>
            </w:r>
            <w:r>
              <w:rPr>
                <w:rStyle w:val="9"/>
                <w:rFonts w:eastAsia="仿宋_GB2312"/>
                <w:lang w:eastAsia="zh-CN"/>
              </w:rPr>
              <w:t>-</w:t>
            </w:r>
            <w:r>
              <w:rPr>
                <w:rStyle w:val="8"/>
                <w:rFonts w:ascii="Times New Roman"/>
                <w:lang w:eastAsia="zh-CN"/>
              </w:rPr>
              <w:t>上年度累计结转结余资金总额）</w:t>
            </w:r>
            <w:r>
              <w:rPr>
                <w:rStyle w:val="9"/>
                <w:rFonts w:eastAsia="仿宋_GB2312"/>
                <w:lang w:eastAsia="zh-CN"/>
              </w:rPr>
              <w:t>/</w:t>
            </w:r>
            <w:r>
              <w:rPr>
                <w:rStyle w:val="8"/>
                <w:rFonts w:ascii="Times New Roman"/>
                <w:lang w:eastAsia="zh-CN"/>
              </w:rPr>
              <w:t>上年度累计结转结余资金总额</w:t>
            </w:r>
            <w:r>
              <w:rPr>
                <w:rStyle w:val="9"/>
                <w:rFonts w:eastAsia="仿宋_GB2312"/>
                <w:lang w:eastAsia="zh-CN"/>
              </w:rPr>
              <w:t>×100%</w:t>
            </w:r>
            <w:r>
              <w:rPr>
                <w:rStyle w:val="8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实际值小于等于0得满分，每增加1%扣权重分的10%，扣完为止。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 xml:space="preserve"> 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8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部门管理（</w:t>
            </w:r>
            <w:r>
              <w:rPr>
                <w:rStyle w:val="9"/>
                <w:rFonts w:eastAsia="仿宋_GB2312"/>
                <w:lang w:eastAsia="zh-CN"/>
              </w:rPr>
              <w:t>40</w:t>
            </w:r>
            <w:r>
              <w:rPr>
                <w:rStyle w:val="8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财务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问题资金占比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审计报告或整改意见书中所列示金额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问题资金占比</w:t>
            </w:r>
            <w:r>
              <w:rPr>
                <w:rStyle w:val="9"/>
                <w:rFonts w:eastAsia="仿宋_GB2312"/>
                <w:lang w:eastAsia="zh-CN"/>
              </w:rPr>
              <w:t>=</w:t>
            </w:r>
            <w:r>
              <w:rPr>
                <w:rStyle w:val="8"/>
                <w:rFonts w:ascii="Times New Roman"/>
                <w:lang w:eastAsia="zh-CN"/>
              </w:rPr>
              <w:t>有问题资金额</w:t>
            </w:r>
            <w:r>
              <w:rPr>
                <w:rStyle w:val="9"/>
                <w:rFonts w:eastAsia="仿宋_GB2312"/>
                <w:lang w:eastAsia="zh-CN"/>
              </w:rPr>
              <w:t>/</w:t>
            </w:r>
            <w:r>
              <w:rPr>
                <w:rStyle w:val="8"/>
                <w:rFonts w:ascii="Times New Roman"/>
                <w:lang w:eastAsia="zh-CN"/>
              </w:rPr>
              <w:t>部门支出决算数。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问题资金指审计、监督巡查、财政监督检查等工作中发现的问题资金。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 xml:space="preserve">得分=（1-问题资金占比）*权重。 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 xml:space="preserve">  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采购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政府采购执行率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≥95%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预算文本、部门决算报表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政府采购执行率</w:t>
            </w:r>
            <w:r>
              <w:rPr>
                <w:rStyle w:val="9"/>
                <w:rFonts w:eastAsia="仿宋_GB2312"/>
                <w:lang w:eastAsia="zh-CN"/>
              </w:rPr>
              <w:t>=</w:t>
            </w:r>
            <w:r>
              <w:rPr>
                <w:rStyle w:val="8"/>
                <w:rFonts w:ascii="Times New Roman"/>
                <w:lang w:eastAsia="zh-CN"/>
              </w:rPr>
              <w:t>（实际政府采购金额</w:t>
            </w:r>
            <w:r>
              <w:rPr>
                <w:rStyle w:val="9"/>
                <w:rFonts w:eastAsia="仿宋_GB2312"/>
                <w:lang w:eastAsia="zh-CN"/>
              </w:rPr>
              <w:t>/</w:t>
            </w:r>
            <w:r>
              <w:rPr>
                <w:rStyle w:val="8"/>
                <w:rFonts w:ascii="Times New Roman"/>
                <w:lang w:eastAsia="zh-CN"/>
              </w:rPr>
              <w:t>政府采购预算数）</w:t>
            </w:r>
            <w:r>
              <w:rPr>
                <w:rStyle w:val="9"/>
                <w:rFonts w:eastAsia="仿宋_GB2312"/>
                <w:lang w:eastAsia="zh-CN"/>
              </w:rPr>
              <w:t>×100%</w:t>
            </w:r>
            <w:r>
              <w:rPr>
                <w:rStyle w:val="8"/>
                <w:rFonts w:ascii="Times New Roman"/>
                <w:lang w:eastAsia="zh-CN"/>
              </w:rPr>
              <w:t>。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政府采购预算数为调整预算数；实际政府采购金额为年末决算报表中政府采购金额。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1.政府采购执行率大于或等于95%的，得满分；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2.预算完成率小于或等于85%的，得0分；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3.预算完成率在85%—95%之间的，在0分和满分之间计算确定：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得分=（实际值-85%）/10%*权重。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 xml:space="preserve">  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7" w:hRule="atLeast"/>
          <w:jc w:val="center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资产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资产管理规范性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规范　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规范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行政事业性国有资产月报系统、廊坊市资产信息管理系统、河北省公务用车信息化管理平台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评价要点：</w:t>
            </w:r>
          </w:p>
          <w:p>
            <w:pPr>
              <w:jc w:val="both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9"/>
                <w:rFonts w:eastAsia="仿宋_GB2312"/>
                <w:lang w:eastAsia="zh-CN"/>
              </w:rPr>
              <w:t xml:space="preserve">1.  </w:t>
            </w:r>
            <w:r>
              <w:rPr>
                <w:rStyle w:val="8"/>
                <w:rFonts w:ascii="Times New Roman"/>
                <w:lang w:eastAsia="zh-CN"/>
              </w:rPr>
              <w:t>按照资产管理要求，是否建章立制，并严格执行：资产配置、处置程序是否规范，标准是否合理，处置是否及时等；</w:t>
            </w:r>
          </w:p>
          <w:p>
            <w:pPr>
              <w:jc w:val="both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9"/>
                <w:rFonts w:eastAsia="仿宋_GB2312"/>
                <w:lang w:eastAsia="zh-CN"/>
              </w:rPr>
              <w:t xml:space="preserve">2.  </w:t>
            </w:r>
            <w:r>
              <w:rPr>
                <w:rStyle w:val="8"/>
                <w:rFonts w:ascii="Times New Roman"/>
                <w:lang w:eastAsia="zh-CN"/>
              </w:rPr>
              <w:t>按会计制度要求，是否建立资产账目，实现与财务管理相结合；</w:t>
            </w:r>
          </w:p>
          <w:p>
            <w:pPr>
              <w:jc w:val="both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9"/>
                <w:rFonts w:eastAsia="仿宋_GB2312"/>
                <w:lang w:eastAsia="zh-CN"/>
              </w:rPr>
              <w:t xml:space="preserve">3.  </w:t>
            </w:r>
            <w:r>
              <w:rPr>
                <w:rStyle w:val="8"/>
                <w:rFonts w:ascii="Times New Roman"/>
                <w:lang w:eastAsia="zh-CN"/>
              </w:rPr>
              <w:t>资产月报和年报是否按照时间要求，及时、准确、完整上报；</w:t>
            </w:r>
          </w:p>
          <w:p>
            <w:pPr>
              <w:jc w:val="both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9"/>
                <w:rFonts w:eastAsia="仿宋_GB2312"/>
                <w:lang w:eastAsia="zh-CN"/>
              </w:rPr>
              <w:t>4.</w:t>
            </w:r>
            <w:r>
              <w:rPr>
                <w:rStyle w:val="8"/>
                <w:rFonts w:ascii="Times New Roman"/>
                <w:lang w:eastAsia="zh-CN"/>
              </w:rPr>
              <w:t>资产信息系统数据是否及时更新，实现动态管理；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9"/>
                <w:rFonts w:eastAsia="仿宋_GB2312"/>
                <w:lang w:eastAsia="zh-CN"/>
              </w:rPr>
              <w:t>5.</w:t>
            </w:r>
            <w:r>
              <w:rPr>
                <w:rStyle w:val="8"/>
                <w:rFonts w:ascii="Times New Roman"/>
                <w:lang w:eastAsia="zh-CN"/>
              </w:rPr>
              <w:t>公务用车是否按照</w:t>
            </w:r>
            <w:r>
              <w:rPr>
                <w:rStyle w:val="9"/>
                <w:rFonts w:eastAsia="仿宋_GB2312"/>
                <w:lang w:eastAsia="zh-CN"/>
              </w:rPr>
              <w:t>“</w:t>
            </w:r>
            <w:r>
              <w:rPr>
                <w:rStyle w:val="8"/>
                <w:rFonts w:ascii="Times New Roman"/>
                <w:lang w:eastAsia="zh-CN"/>
              </w:rPr>
              <w:t>三化</w:t>
            </w:r>
            <w:r>
              <w:rPr>
                <w:rStyle w:val="9"/>
                <w:rFonts w:eastAsia="仿宋_GB2312"/>
                <w:lang w:eastAsia="zh-CN"/>
              </w:rPr>
              <w:t>”</w:t>
            </w:r>
            <w:r>
              <w:rPr>
                <w:rStyle w:val="8"/>
                <w:rFonts w:ascii="Times New Roman"/>
                <w:lang w:eastAsia="zh-CN"/>
              </w:rPr>
              <w:t>要求</w:t>
            </w:r>
            <w:r>
              <w:rPr>
                <w:rStyle w:val="9"/>
                <w:rFonts w:eastAsia="仿宋_GB2312"/>
                <w:lang w:eastAsia="zh-CN"/>
              </w:rPr>
              <w:t>,</w:t>
            </w:r>
            <w:r>
              <w:rPr>
                <w:rStyle w:val="8"/>
                <w:rFonts w:ascii="Times New Roman"/>
                <w:lang w:eastAsia="zh-CN"/>
              </w:rPr>
              <w:t>及时纳入</w:t>
            </w:r>
            <w:r>
              <w:rPr>
                <w:rStyle w:val="9"/>
                <w:rFonts w:eastAsia="仿宋_GB2312"/>
                <w:lang w:eastAsia="zh-CN"/>
              </w:rPr>
              <w:t>“</w:t>
            </w:r>
            <w:r>
              <w:rPr>
                <w:rStyle w:val="8"/>
                <w:rFonts w:ascii="Times New Roman"/>
                <w:lang w:eastAsia="zh-CN"/>
              </w:rPr>
              <w:t>全省一张网</w:t>
            </w:r>
            <w:r>
              <w:rPr>
                <w:rStyle w:val="9"/>
                <w:rFonts w:eastAsia="仿宋_GB2312"/>
                <w:lang w:eastAsia="zh-CN"/>
              </w:rPr>
              <w:t>”</w:t>
            </w:r>
            <w:r>
              <w:rPr>
                <w:rStyle w:val="8"/>
                <w:rFonts w:ascii="Times New Roman"/>
                <w:lang w:eastAsia="zh-CN"/>
              </w:rPr>
              <w:t>平台系统管理。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一项未达标扣20%权重分，扣完为止。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 xml:space="preserve">  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人员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在职人员控制率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≤100%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109.10%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在职人员控制率</w:t>
            </w:r>
            <w:r>
              <w:rPr>
                <w:rStyle w:val="9"/>
                <w:rFonts w:eastAsia="仿宋_GB2312"/>
                <w:lang w:eastAsia="zh-CN"/>
              </w:rPr>
              <w:t>=</w:t>
            </w:r>
            <w:r>
              <w:rPr>
                <w:rStyle w:val="8"/>
                <w:rFonts w:ascii="Times New Roman"/>
                <w:lang w:eastAsia="zh-CN"/>
              </w:rPr>
              <w:t>（在职人员数</w:t>
            </w:r>
            <w:r>
              <w:rPr>
                <w:rStyle w:val="9"/>
                <w:rFonts w:eastAsia="仿宋_GB2312"/>
                <w:lang w:eastAsia="zh-CN"/>
              </w:rPr>
              <w:t>/</w:t>
            </w:r>
            <w:r>
              <w:rPr>
                <w:rStyle w:val="8"/>
                <w:rFonts w:ascii="Times New Roman"/>
                <w:lang w:eastAsia="zh-CN"/>
              </w:rPr>
              <w:t>编制数）</w:t>
            </w:r>
            <w:r>
              <w:rPr>
                <w:rStyle w:val="9"/>
                <w:rFonts w:eastAsia="仿宋_GB2312"/>
                <w:lang w:eastAsia="zh-CN"/>
              </w:rPr>
              <w:t>×100%</w:t>
            </w:r>
            <w:r>
              <w:rPr>
                <w:rStyle w:val="8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实际值小于等于100%得满分，每增加1%扣权重分的10%，扣完为止。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 xml:space="preserve">  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信息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预决算信息公开性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按规定公开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按规定公开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财政部门工作布置文件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评价要点：</w:t>
            </w:r>
          </w:p>
          <w:p>
            <w:pPr>
              <w:jc w:val="both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9"/>
                <w:rFonts w:eastAsia="仿宋_GB2312"/>
                <w:lang w:eastAsia="zh-CN"/>
              </w:rPr>
              <w:t>1.</w:t>
            </w:r>
            <w:r>
              <w:rPr>
                <w:rStyle w:val="8"/>
                <w:rFonts w:ascii="Times New Roman"/>
                <w:lang w:eastAsia="zh-CN"/>
              </w:rPr>
              <w:t>是否按规定内容公开预决算信息；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9"/>
                <w:rFonts w:eastAsia="仿宋_GB2312"/>
                <w:lang w:eastAsia="zh-CN"/>
              </w:rPr>
              <w:t>2.</w:t>
            </w:r>
            <w:r>
              <w:rPr>
                <w:rStyle w:val="8"/>
                <w:rFonts w:ascii="Times New Roman"/>
                <w:lang w:eastAsia="zh-CN"/>
              </w:rPr>
              <w:t>是否按规定时限公开预决算信息。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具备要点1实际值得50%权重分，具备要点2实际值得50%权重分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 xml:space="preserve"> 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  <w:jc w:val="center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绩效信息公开性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按规定公开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按规定公开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财政部门工作布置文件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评价要点：</w:t>
            </w:r>
          </w:p>
          <w:p>
            <w:pPr>
              <w:jc w:val="both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9"/>
                <w:rFonts w:eastAsia="仿宋_GB2312"/>
                <w:lang w:eastAsia="zh-CN"/>
              </w:rPr>
              <w:t>1.</w:t>
            </w:r>
            <w:r>
              <w:rPr>
                <w:rStyle w:val="8"/>
                <w:rFonts w:ascii="Times New Roman"/>
                <w:lang w:eastAsia="zh-CN"/>
              </w:rPr>
              <w:t>是否按规定内容公开2018年度专项项目自评结果；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9"/>
                <w:rFonts w:eastAsia="仿宋_GB2312"/>
                <w:lang w:eastAsia="zh-CN"/>
              </w:rPr>
              <w:t>2.</w:t>
            </w:r>
            <w:r>
              <w:rPr>
                <w:rStyle w:val="8"/>
                <w:rFonts w:ascii="Times New Roman"/>
                <w:lang w:eastAsia="zh-CN"/>
              </w:rPr>
              <w:t>是否按规定时限公开2018年度专项项目自评结果。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具备要点1实际值得50%权重分，具备要点2实际值得50%权重分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 xml:space="preserve"> 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8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部门管理（</w:t>
            </w:r>
            <w:r>
              <w:rPr>
                <w:rStyle w:val="9"/>
                <w:rFonts w:eastAsia="仿宋_GB2312"/>
                <w:lang w:eastAsia="zh-CN"/>
              </w:rPr>
              <w:t>40</w:t>
            </w:r>
            <w:r>
              <w:rPr>
                <w:rStyle w:val="8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绩效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绩效目标审核通过率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一上阶段申报数据、预算文本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绩效目标审核通过率</w:t>
            </w:r>
            <w:r>
              <w:rPr>
                <w:rStyle w:val="9"/>
                <w:rFonts w:eastAsia="仿宋_GB2312"/>
                <w:lang w:eastAsia="zh-CN"/>
              </w:rPr>
              <w:t>=</w:t>
            </w:r>
            <w:r>
              <w:rPr>
                <w:rStyle w:val="8"/>
                <w:rFonts w:ascii="Times New Roman"/>
                <w:lang w:eastAsia="zh-CN"/>
              </w:rPr>
              <w:t>（审核通过安排预算的专项项目数</w:t>
            </w:r>
            <w:r>
              <w:rPr>
                <w:rStyle w:val="9"/>
                <w:rFonts w:eastAsia="仿宋_GB2312"/>
                <w:lang w:eastAsia="zh-CN"/>
              </w:rPr>
              <w:t>/</w:t>
            </w:r>
            <w:r>
              <w:rPr>
                <w:rStyle w:val="8"/>
                <w:rFonts w:ascii="Times New Roman"/>
                <w:lang w:eastAsia="zh-CN"/>
              </w:rPr>
              <w:t>部门申报的专项项目数）</w:t>
            </w:r>
            <w:r>
              <w:rPr>
                <w:rStyle w:val="9"/>
                <w:rFonts w:eastAsia="仿宋_GB2312"/>
                <w:lang w:eastAsia="zh-CN"/>
              </w:rPr>
              <w:t>×100%</w:t>
            </w:r>
            <w:r>
              <w:rPr>
                <w:rStyle w:val="8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实际值为100%得满分，每降低1%扣权重分的10%，扣完为止。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  <w:jc w:val="center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绩效自评覆盖率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财政部门工作布置文件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绩效自评覆盖率</w:t>
            </w:r>
            <w:r>
              <w:rPr>
                <w:rStyle w:val="9"/>
                <w:rFonts w:eastAsia="仿宋_GB2312"/>
                <w:lang w:eastAsia="zh-CN"/>
              </w:rPr>
              <w:t>=</w:t>
            </w:r>
            <w:r>
              <w:rPr>
                <w:rStyle w:val="8"/>
                <w:rFonts w:ascii="Times New Roman"/>
                <w:lang w:eastAsia="zh-CN"/>
              </w:rPr>
              <w:t>（部门开展</w:t>
            </w:r>
            <w:r>
              <w:rPr>
                <w:rStyle w:val="9"/>
                <w:rFonts w:eastAsia="仿宋_GB2312"/>
                <w:lang w:eastAsia="zh-CN"/>
              </w:rPr>
              <w:t>2019</w:t>
            </w:r>
            <w:r>
              <w:rPr>
                <w:rStyle w:val="10"/>
                <w:rFonts w:hint="default" w:ascii="Times New Roman" w:hAnsi="Times New Roman" w:eastAsia="仿宋_GB2312"/>
                <w:lang w:eastAsia="zh-CN"/>
              </w:rPr>
              <w:t>年度</w:t>
            </w:r>
            <w:r>
              <w:rPr>
                <w:rStyle w:val="8"/>
                <w:rFonts w:ascii="Times New Roman"/>
                <w:lang w:eastAsia="zh-CN"/>
              </w:rPr>
              <w:t>专项项目自评的金额</w:t>
            </w:r>
            <w:r>
              <w:rPr>
                <w:rStyle w:val="9"/>
                <w:rFonts w:eastAsia="仿宋_GB2312"/>
                <w:lang w:eastAsia="zh-CN"/>
              </w:rPr>
              <w:t>/2019</w:t>
            </w:r>
            <w:r>
              <w:rPr>
                <w:rStyle w:val="10"/>
                <w:rFonts w:hint="default" w:ascii="Times New Roman" w:hAnsi="Times New Roman" w:eastAsia="仿宋_GB2312"/>
                <w:lang w:eastAsia="zh-CN"/>
              </w:rPr>
              <w:t>年度</w:t>
            </w:r>
            <w:r>
              <w:rPr>
                <w:rStyle w:val="8"/>
                <w:rFonts w:ascii="Times New Roman"/>
                <w:lang w:eastAsia="zh-CN"/>
              </w:rPr>
              <w:t>全部专项项目金额）</w:t>
            </w:r>
            <w:r>
              <w:rPr>
                <w:rStyle w:val="9"/>
                <w:rFonts w:eastAsia="仿宋_GB2312"/>
                <w:lang w:eastAsia="zh-CN"/>
              </w:rPr>
              <w:t>×100%</w:t>
            </w:r>
            <w:r>
              <w:rPr>
                <w:rStyle w:val="8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 xml:space="preserve">得分=绩效自评覆盖率*权重。 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 xml:space="preserve"> 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8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部门产出（</w:t>
            </w:r>
            <w:r>
              <w:rPr>
                <w:rStyle w:val="9"/>
                <w:rFonts w:eastAsia="仿宋_GB2312"/>
                <w:lang w:eastAsia="zh-CN"/>
              </w:rPr>
              <w:t>40</w:t>
            </w:r>
            <w:r>
              <w:rPr>
                <w:rStyle w:val="8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数</w:t>
            </w:r>
            <w:r>
              <w:rPr>
                <w:rStyle w:val="9"/>
                <w:rFonts w:eastAsia="仿宋_GB2312"/>
                <w:lang w:eastAsia="zh-CN"/>
              </w:rPr>
              <w:t xml:space="preserve">  </w:t>
            </w:r>
            <w:r>
              <w:rPr>
                <w:rStyle w:val="8"/>
                <w:rFonts w:ascii="Times New Roman"/>
                <w:lang w:eastAsia="zh-CN"/>
              </w:rPr>
              <w:t>量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重点工作实际完成率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261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部门提供重点项目执行说明（包括本表上部分填列的重点项目完成情况、质量达标情况、及时情况的佐证材料）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重点工作实际完成率</w:t>
            </w:r>
            <w:r>
              <w:rPr>
                <w:rStyle w:val="9"/>
                <w:rFonts w:eastAsia="仿宋_GB2312"/>
                <w:lang w:eastAsia="zh-CN"/>
              </w:rPr>
              <w:t>=</w:t>
            </w:r>
            <w:r>
              <w:rPr>
                <w:rStyle w:val="8"/>
                <w:rFonts w:ascii="Times New Roman"/>
                <w:lang w:eastAsia="zh-CN"/>
              </w:rPr>
              <w:t>（实际完成工作数</w:t>
            </w:r>
            <w:r>
              <w:rPr>
                <w:rStyle w:val="9"/>
                <w:rFonts w:eastAsia="仿宋_GB2312"/>
                <w:lang w:eastAsia="zh-CN"/>
              </w:rPr>
              <w:t>/</w:t>
            </w:r>
            <w:r>
              <w:rPr>
                <w:rStyle w:val="10"/>
                <w:rFonts w:hint="default" w:ascii="Times New Roman" w:hAnsi="Times New Roman" w:eastAsia="仿宋_GB2312"/>
                <w:lang w:eastAsia="zh-CN"/>
              </w:rPr>
              <w:t>计划</w:t>
            </w:r>
            <w:r>
              <w:rPr>
                <w:rStyle w:val="8"/>
                <w:rFonts w:ascii="Times New Roman"/>
                <w:lang w:eastAsia="zh-CN"/>
              </w:rPr>
              <w:t>工作数）</w:t>
            </w:r>
            <w:r>
              <w:rPr>
                <w:rStyle w:val="9"/>
                <w:rFonts w:eastAsia="仿宋_GB2312"/>
                <w:lang w:eastAsia="zh-CN"/>
              </w:rPr>
              <w:t>×100%</w:t>
            </w:r>
            <w:r>
              <w:rPr>
                <w:rStyle w:val="8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得分=重点工作实际完成率*权重 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180" w:firstLineChars="100"/>
              <w:jc w:val="both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质</w:t>
            </w:r>
            <w:r>
              <w:rPr>
                <w:rStyle w:val="9"/>
                <w:rFonts w:eastAsia="仿宋_GB2312"/>
                <w:lang w:eastAsia="zh-CN"/>
              </w:rPr>
              <w:t xml:space="preserve">  </w:t>
            </w:r>
            <w:r>
              <w:rPr>
                <w:rStyle w:val="8"/>
                <w:rFonts w:ascii="Times New Roman"/>
                <w:lang w:eastAsia="zh-CN"/>
              </w:rPr>
              <w:t>量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重点工作质量达标率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61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重点工作质量达标率</w:t>
            </w:r>
            <w:r>
              <w:rPr>
                <w:rStyle w:val="9"/>
                <w:rFonts w:eastAsia="仿宋_GB2312"/>
                <w:lang w:eastAsia="zh-CN"/>
              </w:rPr>
              <w:t>=</w:t>
            </w:r>
            <w:r>
              <w:rPr>
                <w:rStyle w:val="8"/>
                <w:rFonts w:ascii="Times New Roman"/>
                <w:lang w:eastAsia="zh-CN"/>
              </w:rPr>
              <w:t>（质量达标工作数</w:t>
            </w:r>
            <w:r>
              <w:rPr>
                <w:rStyle w:val="9"/>
                <w:rFonts w:eastAsia="仿宋_GB2312"/>
                <w:lang w:eastAsia="zh-CN"/>
              </w:rPr>
              <w:t>/</w:t>
            </w:r>
            <w:r>
              <w:rPr>
                <w:rStyle w:val="8"/>
                <w:rFonts w:ascii="Times New Roman"/>
                <w:lang w:eastAsia="zh-CN"/>
              </w:rPr>
              <w:t>实际工作数）</w:t>
            </w:r>
            <w:r>
              <w:rPr>
                <w:rStyle w:val="9"/>
                <w:rFonts w:eastAsia="仿宋_GB2312"/>
                <w:lang w:eastAsia="zh-CN"/>
              </w:rPr>
              <w:t>×100%</w:t>
            </w:r>
            <w:r>
              <w:rPr>
                <w:rStyle w:val="8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得分=重点工作质量达标率*权重。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 xml:space="preserve">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时　效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重点工作完成及时率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61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重点工作完成及时率</w:t>
            </w:r>
            <w:r>
              <w:rPr>
                <w:rStyle w:val="9"/>
                <w:rFonts w:eastAsia="仿宋_GB2312"/>
                <w:lang w:eastAsia="zh-CN"/>
              </w:rPr>
              <w:t>=</w:t>
            </w:r>
            <w:r>
              <w:rPr>
                <w:rStyle w:val="8"/>
                <w:rFonts w:ascii="Times New Roman"/>
                <w:lang w:eastAsia="zh-CN"/>
              </w:rPr>
              <w:t>（及时完成工作数</w:t>
            </w:r>
            <w:r>
              <w:rPr>
                <w:rStyle w:val="9"/>
                <w:rFonts w:eastAsia="仿宋_GB2312"/>
                <w:lang w:eastAsia="zh-CN"/>
              </w:rPr>
              <w:t>/</w:t>
            </w:r>
            <w:r>
              <w:rPr>
                <w:rStyle w:val="8"/>
                <w:rFonts w:ascii="Times New Roman"/>
                <w:lang w:eastAsia="zh-CN"/>
              </w:rPr>
              <w:t>计划完成工作数）</w:t>
            </w:r>
            <w:r>
              <w:rPr>
                <w:rStyle w:val="9"/>
                <w:rFonts w:eastAsia="仿宋_GB2312"/>
                <w:lang w:eastAsia="zh-CN"/>
              </w:rPr>
              <w:t>×100%</w:t>
            </w:r>
            <w:r>
              <w:rPr>
                <w:rStyle w:val="8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10"/>
                <w:rFonts w:hint="default" w:ascii="Times New Roman" w:hAnsi="Times New Roman" w:eastAsia="仿宋_GB2312"/>
                <w:lang w:eastAsia="zh-CN"/>
              </w:rPr>
              <w:t>得分</w:t>
            </w:r>
            <w:r>
              <w:rPr>
                <w:rStyle w:val="9"/>
                <w:rFonts w:eastAsia="仿宋_GB2312"/>
                <w:lang w:eastAsia="zh-CN"/>
              </w:rPr>
              <w:t>=</w:t>
            </w:r>
            <w:r>
              <w:rPr>
                <w:rStyle w:val="10"/>
                <w:rFonts w:hint="default" w:ascii="Times New Roman" w:hAnsi="Times New Roman" w:eastAsia="仿宋_GB2312"/>
                <w:lang w:eastAsia="zh-CN"/>
              </w:rPr>
              <w:t>重点工作完成及时率</w:t>
            </w:r>
            <w:r>
              <w:rPr>
                <w:rStyle w:val="9"/>
                <w:rFonts w:eastAsia="仿宋_GB2312"/>
                <w:lang w:eastAsia="zh-CN"/>
              </w:rPr>
              <w:t>*</w:t>
            </w:r>
            <w:r>
              <w:rPr>
                <w:rStyle w:val="10"/>
                <w:rFonts w:hint="default" w:ascii="Times New Roman" w:hAnsi="Times New Roman" w:eastAsia="仿宋_GB2312"/>
                <w:lang w:eastAsia="zh-CN"/>
              </w:rPr>
              <w:t>权重。</w:t>
            </w:r>
            <w:r>
              <w:rPr>
                <w:rStyle w:val="9"/>
                <w:rFonts w:eastAsia="仿宋_GB2312"/>
                <w:lang w:eastAsia="zh-CN"/>
              </w:rPr>
              <w:t xml:space="preserve"> 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 xml:space="preserve">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jc w:val="center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Borders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成　本</w:t>
            </w:r>
          </w:p>
        </w:tc>
        <w:tc>
          <w:tcPr>
            <w:tcW w:w="704" w:type="dxa"/>
            <w:tcBorders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一般性支出压减率</w:t>
            </w:r>
          </w:p>
        </w:tc>
        <w:tc>
          <w:tcPr>
            <w:tcW w:w="665" w:type="dxa"/>
            <w:tcBorders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＞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84" w:type="dxa"/>
            <w:tcBorders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9.73%</w:t>
            </w:r>
          </w:p>
        </w:tc>
        <w:tc>
          <w:tcPr>
            <w:tcW w:w="531" w:type="dxa"/>
            <w:tcBorders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61" w:type="dxa"/>
            <w:tcBorders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财政部门工作布置文件</w:t>
            </w:r>
          </w:p>
        </w:tc>
        <w:tc>
          <w:tcPr>
            <w:tcW w:w="3889" w:type="dxa"/>
            <w:tcBorders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一般性支出压减情况</w:t>
            </w:r>
            <w:r>
              <w:rPr>
                <w:rStyle w:val="9"/>
                <w:rFonts w:eastAsia="仿宋_GB2312"/>
                <w:lang w:eastAsia="zh-CN"/>
              </w:rPr>
              <w:t>按照财政部门工作要求进行计算。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实际值达到目标值要求得满分，未达要求得0分。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 xml:space="preserve">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  <w:jc w:val="center"/>
        </w:trPr>
        <w:tc>
          <w:tcPr>
            <w:tcW w:w="838" w:type="dxa"/>
            <w:vMerge w:val="restart"/>
            <w:tcBorders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部门效果（</w:t>
            </w:r>
            <w:r>
              <w:rPr>
                <w:rStyle w:val="9"/>
                <w:rFonts w:eastAsia="仿宋_GB2312"/>
                <w:lang w:eastAsia="zh-CN"/>
              </w:rPr>
              <w:t>20</w:t>
            </w:r>
            <w:r>
              <w:rPr>
                <w:rStyle w:val="8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社会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效益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服刑人员信息核查率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≥</w:t>
            </w: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85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通过查看矫正人员台账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通过查看法律援助案卷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县法宣办宣传工作要点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通过查看考试成绩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通过查看有关协议</w:t>
            </w:r>
          </w:p>
        </w:tc>
        <w:tc>
          <w:tcPr>
            <w:tcW w:w="3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核查人员占服刑人员总数的比例</w:t>
            </w:r>
          </w:p>
          <w:p>
            <w:pPr>
              <w:jc w:val="both"/>
              <w:textAlignment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法律援助案件结案数量与受理数量的比例</w:t>
            </w:r>
          </w:p>
          <w:p>
            <w:pPr>
              <w:jc w:val="both"/>
              <w:textAlignment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普法宣传村街占总村街的比例</w:t>
            </w:r>
          </w:p>
          <w:p>
            <w:pPr>
              <w:jc w:val="both"/>
              <w:textAlignment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执法人员参加培训合格人数占参加培训总人数的比例</w:t>
            </w:r>
          </w:p>
          <w:p>
            <w:pPr>
              <w:jc w:val="both"/>
              <w:textAlignment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法律顾问入村居数量与实际总体村居数量比</w:t>
            </w:r>
          </w:p>
          <w:p>
            <w:pPr>
              <w:jc w:val="both"/>
              <w:textAlignment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2940" w:type="dxa"/>
            <w:vMerge w:val="restart"/>
            <w:tcBorders>
              <w:lef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一、定量指标评分规则：与年初指标值相比，完成指标值的，记该指标所赋全部分值；对完成值高出指标值较多的，要分析原因，如果是由于年初指标值设定偏低造成的，按要按照偏离度适度扣减分值；未完成指标值的，按照完成值与指标值的比例记分。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二、定性指标评分规则：根据指标完成情况分为达成年度指标、部分达成年度指标并具有一定效果、未达成年度指标且效果较差三档，分别按照该指标对应分值区间100%-80%（含）、80%-60%（含）、60%-0（含）合理确定分值。</w:t>
            </w:r>
          </w:p>
        </w:tc>
        <w:tc>
          <w:tcPr>
            <w:tcW w:w="74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180" w:firstLineChars="100"/>
              <w:jc w:val="both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  <w:jc w:val="center"/>
        </w:trPr>
        <w:tc>
          <w:tcPr>
            <w:tcW w:w="838" w:type="dxa"/>
            <w:vMerge w:val="continue"/>
            <w:tcBorders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社会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效益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法律援助案件</w:t>
            </w: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结案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率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≥</w:t>
            </w: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80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80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940" w:type="dxa"/>
            <w:vMerge w:val="continue"/>
            <w:tcBorders>
              <w:lef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4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838" w:type="dxa"/>
            <w:vMerge w:val="continue"/>
            <w:tcBorders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社会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效益</w:t>
            </w:r>
          </w:p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普法覆盖率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≥</w:t>
            </w: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85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180" w:firstLineChars="100"/>
              <w:jc w:val="both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940" w:type="dxa"/>
            <w:vMerge w:val="continue"/>
            <w:tcBorders>
              <w:lef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4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838" w:type="dxa"/>
            <w:vMerge w:val="continue"/>
            <w:tcBorders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社会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效益</w:t>
            </w:r>
          </w:p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执法人员培训合格率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≥</w:t>
            </w: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80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85%</w:t>
            </w:r>
          </w:p>
        </w:tc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940" w:type="dxa"/>
            <w:vMerge w:val="continue"/>
            <w:tcBorders>
              <w:lef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4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838" w:type="dxa"/>
            <w:vMerge w:val="continue"/>
            <w:tcBorders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9"/>
                <w:rFonts w:hint="default" w:eastAsia="仿宋_GB2312"/>
                <w:lang w:val="en-US" w:eastAsia="zh-CN"/>
              </w:rPr>
            </w:pPr>
            <w:r>
              <w:rPr>
                <w:rStyle w:val="9"/>
                <w:rFonts w:hint="eastAsia" w:eastAsia="仿宋_GB2312"/>
                <w:lang w:val="en-US" w:eastAsia="zh-CN"/>
              </w:rPr>
              <w:t>社会</w:t>
            </w:r>
          </w:p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效益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村居顾问覆盖率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≥</w:t>
            </w: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940" w:type="dxa"/>
            <w:vMerge w:val="continue"/>
            <w:tcBorders>
              <w:lef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4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  <w:jc w:val="center"/>
        </w:trPr>
        <w:tc>
          <w:tcPr>
            <w:tcW w:w="8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部门效果（</w:t>
            </w:r>
            <w:r>
              <w:rPr>
                <w:rStyle w:val="9"/>
                <w:rFonts w:eastAsia="仿宋_GB2312"/>
                <w:lang w:eastAsia="zh-CN"/>
              </w:rPr>
              <w:t>20</w:t>
            </w:r>
            <w:r>
              <w:rPr>
                <w:rStyle w:val="8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tcBorders>
              <w:top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满意度</w:t>
            </w:r>
          </w:p>
        </w:tc>
        <w:tc>
          <w:tcPr>
            <w:tcW w:w="704" w:type="dxa"/>
            <w:tcBorders>
              <w:top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法律服务满意度</w:t>
            </w:r>
          </w:p>
        </w:tc>
        <w:tc>
          <w:tcPr>
            <w:tcW w:w="665" w:type="dxa"/>
            <w:tcBorders>
              <w:top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≥90%</w:t>
            </w:r>
          </w:p>
        </w:tc>
        <w:tc>
          <w:tcPr>
            <w:tcW w:w="784" w:type="dxa"/>
            <w:tcBorders>
              <w:top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31" w:type="dxa"/>
            <w:tcBorders>
              <w:top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61" w:type="dxa"/>
            <w:tcBorders>
              <w:top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问卷调查</w:t>
            </w:r>
          </w:p>
        </w:tc>
        <w:tc>
          <w:tcPr>
            <w:tcW w:w="3889" w:type="dxa"/>
            <w:tcBorders>
              <w:top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考察</w:t>
            </w:r>
            <w:r>
              <w:rPr>
                <w:rFonts w:eastAsia="仿宋_GB2312"/>
                <w:color w:val="000000"/>
                <w:sz w:val="21"/>
                <w:szCs w:val="21"/>
                <w:lang w:eastAsia="zh-CN"/>
              </w:rPr>
              <w:t>群众对法律服务工作满意度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1.满意度大于或等于90%的，得满分；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2.满意度小于或等于60%的，得0分；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3.满意度在60%—90%之间的，在0分和满分之间计算确定：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得分=（实际值-60%）/30%*权重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 xml:space="preserve">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3525" w:type="dxa"/>
            <w:gridSpan w:val="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合　计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86.75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3525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评价结论：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ind w:firstLine="4140" w:firstLineChars="2300"/>
              <w:jc w:val="both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3525" w:type="dxa"/>
            <w:gridSpan w:val="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绩效指标完成的指标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1、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eastAsia="zh-CN"/>
              </w:rPr>
              <w:t>预算完成率；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2、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eastAsia="zh-CN"/>
              </w:rPr>
              <w:t>预算调整率；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3、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eastAsia="zh-CN"/>
              </w:rPr>
              <w:t>支出进度率；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4、</w:t>
            </w:r>
            <w:r>
              <w:rPr>
                <w:rStyle w:val="9"/>
                <w:rFonts w:hint="eastAsia" w:ascii="仿宋" w:hAnsi="仿宋" w:eastAsia="仿宋" w:cs="仿宋"/>
                <w:sz w:val="18"/>
                <w:szCs w:val="18"/>
                <w:lang w:eastAsia="zh-CN"/>
              </w:rPr>
              <w:t>“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eastAsia="zh-CN"/>
              </w:rPr>
              <w:t>三公经费</w:t>
            </w:r>
            <w:r>
              <w:rPr>
                <w:rStyle w:val="9"/>
                <w:rFonts w:hint="eastAsia" w:ascii="仿宋" w:hAnsi="仿宋" w:eastAsia="仿宋" w:cs="仿宋"/>
                <w:sz w:val="18"/>
                <w:szCs w:val="18"/>
                <w:lang w:eastAsia="zh-CN"/>
              </w:rPr>
              <w:t>”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eastAsia="zh-CN"/>
              </w:rPr>
              <w:t>变动率；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5、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eastAsia="zh-CN"/>
              </w:rPr>
              <w:t>结转结余变动率；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、问题资金占比；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、政府采购执行率；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、资产管理规范性；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、在职人员控制率；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10、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预决算信息公开性；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、绩效信息公开性；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12、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eastAsia="zh-CN"/>
              </w:rPr>
              <w:t>绩效目标审核通过率；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13、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eastAsia="zh-CN"/>
              </w:rPr>
              <w:t>绩效自评覆盖率；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14、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eastAsia="zh-CN"/>
              </w:rPr>
              <w:t>重点工作实际完成率；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15、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eastAsia="zh-CN"/>
              </w:rPr>
              <w:t>重点工作质量达标率；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16、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eastAsia="zh-CN"/>
              </w:rPr>
              <w:t>重点工作完成及时率；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17、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eastAsia="zh-CN"/>
              </w:rPr>
              <w:t>一般性支出压减率；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18、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服刑人员信息核查率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19、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法律援助案件结案率；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20、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普法覆盖率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21、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社区矫正基地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有效运转，提升场所稳定性；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22、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法律服务满意度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3525" w:type="dxa"/>
            <w:gridSpan w:val="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超标完成和尚未完成的绩效指标与目标值偏差程度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1、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eastAsia="zh-CN"/>
              </w:rPr>
              <w:t>预算完成率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低2.56%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2、支出进度率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低22.33%；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3、预算调整率超标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20.39%；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4、结余结转变动率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超标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372.40%；5、</w:t>
            </w:r>
            <w:r>
              <w:rPr>
                <w:rStyle w:val="9"/>
                <w:rFonts w:hint="eastAsia" w:ascii="仿宋" w:hAnsi="仿宋" w:eastAsia="仿宋" w:cs="仿宋"/>
                <w:sz w:val="18"/>
                <w:szCs w:val="18"/>
                <w:lang w:eastAsia="zh-CN"/>
              </w:rPr>
              <w:t>“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eastAsia="zh-CN"/>
              </w:rPr>
              <w:t>三公经费</w:t>
            </w:r>
            <w:r>
              <w:rPr>
                <w:rStyle w:val="9"/>
                <w:rFonts w:hint="eastAsia" w:ascii="仿宋" w:hAnsi="仿宋" w:eastAsia="仿宋" w:cs="仿宋"/>
                <w:sz w:val="18"/>
                <w:szCs w:val="18"/>
                <w:lang w:eastAsia="zh-CN"/>
              </w:rPr>
              <w:t>”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eastAsia="zh-CN"/>
              </w:rPr>
              <w:t>变动率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超标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2.72%。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3525" w:type="dxa"/>
            <w:gridSpan w:val="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超标完成和尚未完成的绩效指标原因说明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预算完成率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低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原因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是村居法律顾问费、以案定补经费和法律援助办案补贴需年度终了在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下一年度支付；2、支出进度率未完成原因是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村居法律顾问费、以案定补经费和法律援助办案补贴在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下一年度支付；3、预算调整率未完成原因是机构改革，原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政府法制办经费调整到我单位4、结转结余变动率超标原因是上级转移支付资金结转。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5、三公经费变动率超标的原因是今年压减了公车运维费的支出。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372" w:type="dxa"/>
            <w:gridSpan w:val="2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改进措施</w:t>
            </w:r>
          </w:p>
        </w:tc>
        <w:tc>
          <w:tcPr>
            <w:tcW w:w="2153" w:type="dxa"/>
            <w:gridSpan w:val="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1.对部门预算编制、预算执行与部门决算等的措施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1、细化预算及绩效管理工作，在预算及绩效编制过程中更加科学规范。2、预算编制工作与业务工作紧密结合，增强预算编制准确性3、加强预算执行和绩效考核，将绩效考核工作贯穿业务工作全过程。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372" w:type="dxa"/>
            <w:gridSpan w:val="2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53" w:type="dxa"/>
            <w:gridSpan w:val="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2.对制度完善、人员管理、资产配置等的措施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1、结合实际工作，不断完成绩效管理制度2、积极宣传预算绩效管理工作，提高绩效意识。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372" w:type="dxa"/>
            <w:gridSpan w:val="2"/>
            <w:vMerge w:val="continue"/>
            <w:tcBorders>
              <w:bottom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53" w:type="dxa"/>
            <w:gridSpan w:val="3"/>
            <w:tcBorders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3.其他措施</w:t>
            </w:r>
          </w:p>
        </w:tc>
        <w:tc>
          <w:tcPr>
            <w:tcW w:w="9369" w:type="dxa"/>
            <w:gridSpan w:val="5"/>
            <w:tcBorders>
              <w:bottom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1、提高开源节流力度，保障机关运行；2、推进绩效管理工作深入开展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 xml:space="preserve"> </w:t>
            </w:r>
          </w:p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94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textAlignment w:val="bottom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填表要求：</w:t>
            </w:r>
          </w:p>
          <w:p>
            <w:pPr>
              <w:textAlignment w:val="bottom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1、年度部门（单位）预算执行情况按年度部门决算报表所列数据填写。</w:t>
            </w:r>
          </w:p>
          <w:p>
            <w:pPr>
              <w:textAlignment w:val="bottom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2、重点工作任务对应安排的重点项目部分，重点项目选择标准：单个项目资金额为150万元以上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或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项目合计资金占全部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项目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资金金额60%以上，个数要求为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占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项目总数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50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%以上。</w:t>
            </w:r>
          </w:p>
          <w:p>
            <w:pPr>
              <w:textAlignment w:val="bottom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3、部门产出部分和部门效果部分的各项指标为必须考虑的要素，可根据部门职责、全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发展重点工作设置，应主要围绕重点项目的产出效果情况来确定核心业务指标。同时，部门效益指标部分除重点工作任务下对应的重点项目产生的效果外，还需关注部门的综合效果，与年度目标进行呼应。（所设指标个数不少于5个）</w:t>
            </w:r>
          </w:p>
          <w:p>
            <w:pPr>
              <w:textAlignment w:val="bottom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4、整体绩效评价结果（绩效评级）划分为四个等次，“优”等次：90分（含）—100分、“良”等次：80分（含）—90分、“中”等次：60分（含）—80分、“差”等次：60分以下。</w:t>
            </w:r>
          </w:p>
        </w:tc>
      </w:tr>
    </w:tbl>
    <w:p>
      <w:pPr>
        <w:textAlignment w:val="center"/>
        <w:rPr>
          <w:rFonts w:hint="eastAsia" w:eastAsia="黑体"/>
          <w:color w:val="000000"/>
          <w:sz w:val="32"/>
          <w:szCs w:val="32"/>
          <w:lang w:eastAsia="zh-CN"/>
        </w:rPr>
      </w:pPr>
    </w:p>
    <w:p>
      <w:pPr>
        <w:textAlignment w:val="center"/>
        <w:rPr>
          <w:rFonts w:hint="eastAsia" w:eastAsia="黑体"/>
          <w:color w:val="000000"/>
          <w:sz w:val="32"/>
          <w:szCs w:val="32"/>
          <w:lang w:eastAsia="zh-CN"/>
        </w:rPr>
      </w:pPr>
    </w:p>
    <w:p>
      <w:pPr>
        <w:textAlignment w:val="center"/>
        <w:rPr>
          <w:rFonts w:hint="eastAsia" w:eastAsia="黑体"/>
          <w:color w:val="000000"/>
          <w:sz w:val="32"/>
          <w:szCs w:val="32"/>
          <w:lang w:eastAsia="zh-CN"/>
        </w:rPr>
      </w:pPr>
    </w:p>
    <w:p>
      <w:pPr>
        <w:spacing w:line="40" w:lineRule="exact"/>
        <w:rPr>
          <w:lang w:eastAsia="zh-CN"/>
        </w:rPr>
      </w:pPr>
    </w:p>
    <w:p>
      <w:pPr>
        <w:spacing w:line="584" w:lineRule="exact"/>
        <w:rPr>
          <w:rFonts w:eastAsia="仿宋_GB2312"/>
          <w:color w:val="000000"/>
          <w:sz w:val="32"/>
          <w:szCs w:val="32"/>
          <w:lang w:eastAsia="zh-CN"/>
        </w:rPr>
        <w:sectPr>
          <w:pgSz w:w="16840" w:h="11907" w:orient="landscape"/>
          <w:pgMar w:top="1531" w:right="1985" w:bottom="1531" w:left="1985" w:header="720" w:footer="720" w:gutter="0"/>
          <w:cols w:space="720" w:num="1"/>
          <w:docGrid w:linePitch="360" w:charSpace="0"/>
        </w:sectPr>
      </w:pPr>
    </w:p>
    <w:p>
      <w:pPr>
        <w:pStyle w:val="2"/>
        <w:spacing w:before="0" w:after="0" w:line="584" w:lineRule="exact"/>
        <w:rPr>
          <w:rFonts w:hint="eastAsia" w:ascii="Times New Roman" w:eastAsia="黑体"/>
          <w:b w:val="0"/>
          <w:sz w:val="32"/>
          <w:szCs w:val="32"/>
          <w:lang w:eastAsia="zh-CN"/>
        </w:rPr>
      </w:pPr>
      <w:r>
        <w:rPr>
          <w:rFonts w:hint="eastAsia" w:ascii="Times New Roman" w:eastAsia="黑体"/>
          <w:b w:val="0"/>
          <w:sz w:val="32"/>
          <w:szCs w:val="32"/>
          <w:lang w:eastAsia="zh-CN"/>
        </w:rPr>
        <w:t>附件3</w:t>
      </w:r>
    </w:p>
    <w:p>
      <w:pPr>
        <w:autoSpaceDE w:val="0"/>
        <w:autoSpaceDN w:val="0"/>
        <w:adjustRightInd w:val="0"/>
        <w:spacing w:line="584" w:lineRule="exact"/>
        <w:jc w:val="center"/>
        <w:rPr>
          <w:rFonts w:hint="eastAsia" w:eastAsia="仿宋_GB2312"/>
          <w:b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jc w:val="center"/>
        <w:rPr>
          <w:rFonts w:hint="eastAsia" w:eastAsia="仿宋_GB2312"/>
          <w:b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部门（单位）整体绩效自评报告</w:t>
      </w:r>
    </w:p>
    <w:p>
      <w:pPr>
        <w:autoSpaceDE w:val="0"/>
        <w:autoSpaceDN w:val="0"/>
        <w:adjustRightInd w:val="0"/>
        <w:spacing w:line="584" w:lineRule="exact"/>
        <w:jc w:val="center"/>
        <w:rPr>
          <w:rFonts w:eastAsia="仿宋_GB2312"/>
          <w:b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jc w:val="center"/>
        <w:rPr>
          <w:rFonts w:eastAsia="仿宋_GB2312"/>
          <w:b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jc w:val="center"/>
        <w:rPr>
          <w:rFonts w:eastAsia="仿宋_GB2312"/>
          <w:b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1500" w:firstLineChars="5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1500" w:firstLineChars="5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1500" w:firstLineChars="500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eastAsia="zh-CN"/>
        </w:rPr>
        <w:t>部门（单位）名称：</w:t>
      </w:r>
      <w:r>
        <w:rPr>
          <w:rFonts w:hint="eastAsia" w:eastAsia="仿宋_GB2312"/>
          <w:sz w:val="30"/>
          <w:szCs w:val="30"/>
          <w:lang w:val="en-US" w:eastAsia="zh-CN"/>
        </w:rPr>
        <w:t>香河县司法局</w:t>
      </w:r>
    </w:p>
    <w:p>
      <w:pPr>
        <w:autoSpaceDE w:val="0"/>
        <w:autoSpaceDN w:val="0"/>
        <w:adjustRightInd w:val="0"/>
        <w:spacing w:line="584" w:lineRule="exact"/>
        <w:ind w:firstLine="1500" w:firstLineChars="5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1500" w:firstLineChars="500"/>
        <w:rPr>
          <w:rFonts w:eastAsia="仿宋_GB2312"/>
          <w:sz w:val="30"/>
          <w:szCs w:val="30"/>
          <w:lang w:eastAsia="zh-CN"/>
        </w:rPr>
      </w:pPr>
      <w:r>
        <w:rPr>
          <w:rFonts w:eastAsia="仿宋_GB2312"/>
          <w:sz w:val="30"/>
          <w:szCs w:val="30"/>
          <w:lang w:eastAsia="zh-CN"/>
        </w:rPr>
        <w:t xml:space="preserve">          </w:t>
      </w:r>
    </w:p>
    <w:p>
      <w:pPr>
        <w:autoSpaceDE w:val="0"/>
        <w:autoSpaceDN w:val="0"/>
        <w:adjustRightInd w:val="0"/>
        <w:spacing w:line="584" w:lineRule="exact"/>
        <w:ind w:firstLine="3000" w:firstLineChars="10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3000" w:firstLineChars="10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3000" w:firstLineChars="10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3000" w:firstLineChars="10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3000" w:firstLineChars="10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3000" w:firstLineChars="10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3900" w:firstLineChars="13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6300" w:firstLineChars="2100"/>
        <w:rPr>
          <w:rFonts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2020</w:t>
      </w:r>
      <w:r>
        <w:rPr>
          <w:rFonts w:hint="eastAsia" w:eastAsia="仿宋_GB2312"/>
          <w:sz w:val="30"/>
          <w:szCs w:val="30"/>
          <w:lang w:eastAsia="zh-CN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11</w:t>
      </w:r>
      <w:r>
        <w:rPr>
          <w:rFonts w:hint="eastAsia" w:eastAsia="仿宋_GB2312"/>
          <w:sz w:val="30"/>
          <w:szCs w:val="30"/>
          <w:lang w:eastAsia="zh-CN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30</w:t>
      </w:r>
      <w:r>
        <w:rPr>
          <w:rFonts w:hint="eastAsia" w:eastAsia="仿宋_GB2312"/>
          <w:sz w:val="30"/>
          <w:szCs w:val="30"/>
          <w:lang w:eastAsia="zh-CN"/>
        </w:rPr>
        <w:t>日</w:t>
      </w:r>
    </w:p>
    <w:p>
      <w:pPr>
        <w:autoSpaceDE w:val="0"/>
        <w:autoSpaceDN w:val="0"/>
        <w:adjustRightInd w:val="0"/>
        <w:spacing w:line="584" w:lineRule="exact"/>
        <w:ind w:firstLine="4417" w:firstLineChars="1000"/>
        <w:rPr>
          <w:rFonts w:hint="eastAsia" w:eastAsia="仿宋_GB2312"/>
          <w:b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4417" w:firstLineChars="1000"/>
        <w:rPr>
          <w:rFonts w:hint="eastAsia" w:eastAsia="仿宋_GB2312"/>
          <w:b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4417" w:firstLineChars="1000"/>
        <w:rPr>
          <w:rFonts w:hint="eastAsia" w:eastAsia="仿宋_GB2312"/>
          <w:b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883" w:firstLineChars="200"/>
        <w:jc w:val="center"/>
        <w:rPr>
          <w:rFonts w:eastAsia="仿宋_GB2312"/>
          <w:b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宋体" w:hAnsi="宋体" w:cs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目  录</w:t>
      </w:r>
    </w:p>
    <w:p>
      <w:pPr>
        <w:autoSpaceDE w:val="0"/>
        <w:autoSpaceDN w:val="0"/>
        <w:adjustRightInd w:val="0"/>
        <w:spacing w:line="500" w:lineRule="exact"/>
        <w:ind w:firstLine="643" w:firstLineChars="200"/>
        <w:rPr>
          <w:rFonts w:eastAsia="仿宋_GB2312"/>
          <w:b/>
          <w:bCs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黑体" w:eastAsia="黑体"/>
          <w:bCs/>
          <w:sz w:val="32"/>
          <w:szCs w:val="32"/>
          <w:lang w:eastAsia="zh-CN"/>
        </w:rPr>
      </w:pPr>
      <w:r>
        <w:rPr>
          <w:rFonts w:hint="eastAsia" w:ascii="黑体" w:eastAsia="黑体"/>
          <w:bCs/>
          <w:sz w:val="32"/>
          <w:szCs w:val="32"/>
          <w:lang w:eastAsia="zh-CN"/>
        </w:rPr>
        <w:t>摘要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eastAsia="仿宋_GB2312"/>
          <w:sz w:val="32"/>
          <w:szCs w:val="32"/>
          <w:lang w:eastAsia="zh-CN"/>
        </w:rPr>
      </w:pPr>
      <w:r>
        <w:rPr>
          <w:rFonts w:eastAsia="微软雅黑"/>
          <w:sz w:val="32"/>
          <w:szCs w:val="32"/>
          <w:lang w:eastAsia="zh-CN"/>
        </w:rPr>
        <w:t>•</w:t>
      </w:r>
      <w:r>
        <w:rPr>
          <w:rFonts w:eastAsia="仿宋_GB2312"/>
          <w:sz w:val="32"/>
          <w:szCs w:val="32"/>
          <w:lang w:eastAsia="zh-CN"/>
        </w:rPr>
        <w:t>概述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eastAsia="仿宋_GB2312"/>
          <w:sz w:val="32"/>
          <w:szCs w:val="32"/>
          <w:lang w:eastAsia="zh-CN"/>
        </w:rPr>
      </w:pPr>
      <w:r>
        <w:rPr>
          <w:rFonts w:eastAsia="微软雅黑"/>
          <w:sz w:val="32"/>
          <w:szCs w:val="32"/>
          <w:lang w:eastAsia="zh-CN"/>
        </w:rPr>
        <w:t>•</w:t>
      </w:r>
      <w:r>
        <w:rPr>
          <w:rFonts w:eastAsia="仿宋_GB2312"/>
          <w:sz w:val="32"/>
          <w:szCs w:val="32"/>
          <w:lang w:eastAsia="zh-CN"/>
        </w:rPr>
        <w:t>评估结论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eastAsia="仿宋_GB2312"/>
          <w:sz w:val="32"/>
          <w:szCs w:val="32"/>
          <w:lang w:eastAsia="zh-CN"/>
        </w:rPr>
      </w:pPr>
      <w:r>
        <w:rPr>
          <w:rFonts w:eastAsia="微软雅黑"/>
          <w:sz w:val="32"/>
          <w:szCs w:val="32"/>
          <w:lang w:eastAsia="zh-CN"/>
        </w:rPr>
        <w:t>•</w:t>
      </w:r>
      <w:r>
        <w:rPr>
          <w:rFonts w:eastAsia="仿宋_GB2312"/>
          <w:sz w:val="32"/>
          <w:szCs w:val="32"/>
          <w:lang w:eastAsia="zh-CN"/>
        </w:rPr>
        <w:t>经验做法、问题和建议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eastAsia="仿宋_GB2312"/>
          <w:sz w:val="32"/>
          <w:szCs w:val="32"/>
          <w:lang w:eastAsia="zh-CN"/>
        </w:rPr>
      </w:pPr>
      <w:r>
        <w:rPr>
          <w:rFonts w:hint="eastAsia" w:ascii="黑体" w:eastAsia="黑体"/>
          <w:bCs/>
          <w:sz w:val="32"/>
          <w:szCs w:val="32"/>
          <w:lang w:eastAsia="zh-CN"/>
        </w:rPr>
        <w:t>前言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3" w:firstLineChars="200"/>
        <w:jc w:val="both"/>
        <w:textAlignment w:val="auto"/>
        <w:rPr>
          <w:rFonts w:ascii="黑体" w:eastAsia="黑体"/>
          <w:bCs/>
          <w:sz w:val="32"/>
          <w:szCs w:val="32"/>
          <w:lang w:eastAsia="zh-CN"/>
        </w:rPr>
      </w:pPr>
      <w:r>
        <w:rPr>
          <w:rFonts w:eastAsia="仿宋_GB2312"/>
          <w:b/>
          <w:bCs/>
          <w:sz w:val="32"/>
          <w:szCs w:val="32"/>
          <w:lang w:eastAsia="zh-CN"/>
        </w:rPr>
        <w:t>一、部门（单位）概况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（一）部门（单位）主要职责职能，组织架构、人员及资产等基本情况。</w:t>
      </w:r>
    </w:p>
    <w:p>
      <w:pPr>
        <w:pStyle w:val="2"/>
        <w:pageBreakBefore w:val="0"/>
        <w:kinsoku/>
        <w:wordWrap/>
        <w:overflowPunct/>
        <w:topLinePunct w:val="0"/>
        <w:bidi w:val="0"/>
        <w:spacing w:before="0" w:after="0" w:line="5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部门职责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承担全面依法治县重大问题的政策研究。组织协调有关方面提出全面依法治县中长期规划建议，负责有关重大决策部署督察工作。</w:t>
      </w:r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负责起草或组织起草有关地方性法规和政府规章草案。承办各部门报送县政府的地方性法规和政府规章草案的审查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工作。</w:t>
      </w:r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负责县政府各部门、各镇（社区、园区)政府规范性文件的备案审查工作。负责对县政府政策措施、规范性文件和合同协议的合法性审核工作；承办县政府交办的涉法事务；承办县政府规章和规范性文件上报国务院、市人大常委会、市政府和县人大常委会备案工作；负责县政府规章的编纂工作。</w:t>
      </w:r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承担统筹推进香河法治政府建设的责任。指导、监督县政府各部门、地方各级政府依法行政工作；负责综合协调行政执法工作；承担推进行政执法体制改革有关工作；推进严格规范公正文明执法。依法承办行政复议案件；受县政府委托，代理行政诉讼案件的应诉；指导、监督全县行政复议和行政应诉工作。</w:t>
      </w:r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承担统筹规划全县法治社会建设的责任。负责拟订全县法治宣传教育规划，组织实施普法宣传工作；推动全县人民参与和促进法治建设；指导全县依法治理和法治创建工作；指导全县调解工作，负责和指导全县人民陪审员、人民监督员选任管理工作；负责全县司法所建设。</w:t>
      </w:r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负责全县社区矫正工作；负责全县刑满释放人员帮教安置工作。</w:t>
      </w:r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</w:rPr>
        <w:t>负责制定全县公共法律服务体系建设规划并指导实施，统筹和布局城乡、区域法律服务资源。负责全县律师、公证、法律援助、司法鉴定和基层法律服务管理工作。</w:t>
      </w:r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sz w:val="32"/>
          <w:szCs w:val="32"/>
        </w:rPr>
        <w:t>负责本系统服装和警车等物资装备管理工作；指导、监督本系统财务、装备、设施、场所等保障工作。</w:t>
      </w:r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sz w:val="32"/>
          <w:szCs w:val="32"/>
        </w:rPr>
        <w:t>规划、协调、指导全县法治人才队伍建设相关工作。指导、监督本系统队伍建设；协助各镇（社区、园区）管理司法局领导干部。</w:t>
      </w:r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</w:t>
      </w:r>
      <w:r>
        <w:rPr>
          <w:rFonts w:hint="eastAsia" w:ascii="仿宋" w:hAnsi="仿宋" w:eastAsia="仿宋" w:cs="仿宋"/>
          <w:sz w:val="32"/>
          <w:szCs w:val="32"/>
        </w:rPr>
        <w:t>完成县委、县政府交办的其他任务。</w:t>
      </w:r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组织架构</w:t>
      </w:r>
    </w:p>
    <w:tbl>
      <w:tblPr>
        <w:tblStyle w:val="5"/>
        <w:tblpPr w:leftFromText="180" w:rightFromText="180" w:vertAnchor="text" w:horzAnchor="page" w:tblpXSpec="center" w:tblpY="10"/>
        <w:tblOverlap w:val="never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3485"/>
        <w:gridCol w:w="2445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1" w:hRule="atLeast"/>
          <w:jc w:val="center"/>
        </w:trPr>
        <w:tc>
          <w:tcPr>
            <w:tcW w:w="9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4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ind w:firstLine="643" w:firstLineChars="2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4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单位基本性质</w:t>
            </w:r>
          </w:p>
        </w:tc>
        <w:tc>
          <w:tcPr>
            <w:tcW w:w="266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ind w:firstLine="643" w:firstLineChars="2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经费形式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8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ind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348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香河县司法局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(本级)</w:t>
            </w:r>
          </w:p>
        </w:tc>
        <w:tc>
          <w:tcPr>
            <w:tcW w:w="244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ind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行政单位</w:t>
            </w:r>
          </w:p>
        </w:tc>
        <w:tc>
          <w:tcPr>
            <w:tcW w:w="2665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ind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财政拨款</w:t>
            </w:r>
          </w:p>
        </w:tc>
      </w:tr>
    </w:tbl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人员情况及资产情况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截至2019年12月31日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在职人员48人，其中：行政人员46人、参照公务员法管理事业人员2人；退休人员18人。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房屋1241.88平方米；</w:t>
      </w:r>
      <w:r>
        <w:rPr>
          <w:rFonts w:hint="eastAsia" w:ascii="仿宋" w:hAnsi="仿宋" w:eastAsia="仿宋" w:cs="仿宋"/>
          <w:sz w:val="32"/>
          <w:szCs w:val="32"/>
        </w:rPr>
        <w:t>车辆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辆，其中，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公务用车2</w:t>
      </w:r>
      <w:r>
        <w:rPr>
          <w:rFonts w:hint="eastAsia" w:ascii="仿宋" w:hAnsi="仿宋" w:eastAsia="仿宋" w:cs="仿宋"/>
          <w:sz w:val="32"/>
          <w:szCs w:val="32"/>
        </w:rPr>
        <w:t>辆，执法执勤用车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当年部门（单位）履职总体目标、工作任务。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总体目标：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司法行政管理方面。深化人民调解、社区矫正和安置帮教工作，最大限度降低重新违法犯罪和社会不稳定因素发生率；夯实法律援助基础工作；扩大法律援助覆盖面；充分发挥法律服务和法制宣传职能，着力服务经济改革、保障民生和法治香河建设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司法行政系统执法能力建设方面。着力提升队伍“五种能力”，即着力提升运用“四大法宝”加强自身建设的能力、做好新形势下群众工作的能力、班子成员的科学执行能力、队伍的履职尽责能力和拒腐防变的能力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工作任务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负责县政府规范性文件的备案审查工作。 负责综合协调行政执法工作；推进严格规范公正文明执法。依法承办行政复议案件；受县政府委托，代理行政诉讼案件的应诉。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负责拟订全县法治宣传教育规划，组织实施普法宣传工作；推动全县人民参与和促进法治建设；指导全县依法治理和法治创建工作。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指导全县调解工作，负责和指导全县人民陪审员选任管理工作；负责全县司法所建设。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负责全县社区矫正工作；负责全县刑满释放人员安置帮教工作。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负责制定全县公共法律服务体系建设规划并指导实施，统筹和布局城乡、区域法律服务资源。负责全县律师、公证、法律援助、司法鉴定和基层法律服务管理工作。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涉黑涉恶矛盾纠纷排查、社区矫正和刑满释放人员黑恶线索排查、扫黑除恶法治宣传、监督指导律师代理黑恶势力犯罪案件等职能。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（三）当年部门（单位）年度整体绩效目标。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1、提高全县执行政法人员的执法能力和水平，推动依法行政，努力加快法治政府建设的步伐。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2、提高全县人民法律意识和法律素质，增强法治化管理水平，促进全县民主与法制建设。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3、全力推动社会治安综合治理，深化人民调解工作、社区矫正和安置帮教工作，最大限度降低重新违法犯罪和社会不稳定因素发生率。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4、建立完善的法律援助法律法规体系、工作体制和机制，扩大法律援助覆盖面，推动全县法律援助工作长足发展。指导律师做好涉法涉诉信访工作，引导群众依法理性表达诉求，把信访隐患化解在萌芽状态；使村（居）法律服务更加便民快捷，提高基层社会治理法治化水平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5、保障本单位扫黑除恶职能正常发挥，综合运用传统媒体和新媒体,深入宣传县委、政府开展扫黑除恶专项斗争的决心、工作成效和先进事迹，动员人民群众积极投身扫黑除恶专项斗争。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（四）部门（单位）预算绩效管理开展情况。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年度县司法局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认真按照《河北省预算绩效管理办法（试行）》、《河北省财政支出绩效评价管理办法》等制度规定，严格评价标准，准确把握绩效评价的内容与方法，确保评价质量。为了提高财政资金使用效益和效率，实现财政资金的规范性、安全性和有效性，按照《河北省人民政府关于深化推进预算绩效管理的意见》遵循“客观公正、公开透明”的原则，积极开展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一是制定绩效管理自评方案，进一步明确了评价工作的指导思想、方法步骤，细化了应达到的绩效目标和相应的绩效指标，完善了绩效评价工作体系。二是按照经济性、效率性、有效性的原则，定量分析与定性分析相结合的原则，真实性、科学性、规范性的原则，对重点项目制定绩效评价实施方案和绩效指标评价体系。</w:t>
      </w:r>
    </w:p>
    <w:p>
      <w:pPr>
        <w:pageBreakBefore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当年部门（单位）预算及执行情况。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本部门2019年度预算收入情况如下，其中年初预算数1507.83万元，调整预算收入1181.11万元，决算数1181.11万元；预算支出情况，其中年初预算数1507.83万元，调整预算数1200.33万元，决算数1109.54万元。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二、部门（单位）整体绩效实现情况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（一）部门产出情况：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Style w:val="8"/>
          <w:rFonts w:hint="eastAsia" w:ascii="仿宋" w:hAnsi="仿宋" w:eastAsia="仿宋" w:cs="仿宋"/>
          <w:sz w:val="32"/>
          <w:szCs w:val="32"/>
          <w:lang w:eastAsia="zh-CN"/>
        </w:rPr>
        <w:t>重点工作实际完成率</w:t>
      </w: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t>100%</w:t>
      </w:r>
      <w:r>
        <w:rPr>
          <w:rStyle w:val="8"/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Style w:val="8"/>
          <w:rFonts w:hint="eastAsia" w:ascii="仿宋" w:hAnsi="仿宋" w:eastAsia="仿宋" w:cs="仿宋"/>
          <w:sz w:val="32"/>
          <w:szCs w:val="32"/>
          <w:lang w:eastAsia="zh-CN"/>
        </w:rPr>
        <w:t>重点工作质量达标率</w:t>
      </w: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t>100%</w:t>
      </w:r>
      <w:r>
        <w:rPr>
          <w:rStyle w:val="8"/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Style w:val="8"/>
          <w:rFonts w:hint="eastAsia" w:ascii="仿宋" w:hAnsi="仿宋" w:eastAsia="仿宋" w:cs="仿宋"/>
          <w:sz w:val="32"/>
          <w:szCs w:val="32"/>
          <w:lang w:eastAsia="zh-CN"/>
        </w:rPr>
        <w:t>重点工作完成及时率</w:t>
      </w: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t>100%</w:t>
      </w:r>
      <w:r>
        <w:rPr>
          <w:rStyle w:val="8"/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Style w:val="8"/>
          <w:rFonts w:hint="eastAsia" w:ascii="仿宋" w:hAnsi="仿宋" w:eastAsia="仿宋" w:cs="仿宋"/>
          <w:sz w:val="32"/>
          <w:szCs w:val="32"/>
          <w:lang w:eastAsia="zh-CN"/>
        </w:rPr>
        <w:t>一般性支出压减率</w:t>
      </w: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t>9.73%。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（二）部门效果情况：</w:t>
      </w: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服刑人员信息核查率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95%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法律援助案件结案率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92%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普法覆盖率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社区矫正基地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有效运转，提升场所稳定性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提升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法律服务满意度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95%。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三、部门（单位）整体绩效评价存在问题及改进措施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（一）主要问题及原因分析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Style w:val="8"/>
          <w:rFonts w:hint="eastAsia" w:ascii="仿宋" w:hAnsi="仿宋" w:eastAsia="仿宋" w:cs="仿宋"/>
          <w:sz w:val="32"/>
          <w:szCs w:val="32"/>
          <w:lang w:eastAsia="zh-CN"/>
        </w:rPr>
        <w:t>预算完成率</w:t>
      </w: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t>低2.56%，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预算完成率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低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原因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是村居法律顾问费、以案定补经费和法律援助办案补贴需年度终了在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下一年度支付。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2、支出进度率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低22.33%，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支出进度率未完成原因是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村居法律顾问费、以案定补经费和法律援助办案补贴在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下一年度支付。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预算调整率超标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20.39%，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预算调整率未完成原因是机构改革，原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政府法制办经费调整到我单位。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4、结余结转变动率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超标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372.40%，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结转结余变动率超标原因是上级转移支付资金结转。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5、</w:t>
      </w:r>
      <w:r>
        <w:rPr>
          <w:rStyle w:val="9"/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Style w:val="8"/>
          <w:rFonts w:hint="eastAsia" w:ascii="仿宋" w:hAnsi="仿宋" w:eastAsia="仿宋" w:cs="仿宋"/>
          <w:sz w:val="32"/>
          <w:szCs w:val="32"/>
          <w:lang w:eastAsia="zh-CN"/>
        </w:rPr>
        <w:t>三公经费</w:t>
      </w:r>
      <w:r>
        <w:rPr>
          <w:rStyle w:val="9"/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Style w:val="8"/>
          <w:rFonts w:hint="eastAsia" w:ascii="仿宋" w:hAnsi="仿宋" w:eastAsia="仿宋" w:cs="仿宋"/>
          <w:sz w:val="32"/>
          <w:szCs w:val="32"/>
          <w:lang w:eastAsia="zh-CN"/>
        </w:rPr>
        <w:t>变动率</w:t>
      </w: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t>超标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2.72%，三公经费变动率超标的原因是今年压减了公车运维费的支出。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（二）改进的方向和具体措施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对部门预算编制、预算执行与部门决算等的措施：</w:t>
      </w:r>
    </w:p>
    <w:p>
      <w:pPr>
        <w:pageBreakBefore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细化预算及绩效管理工作，在预算及绩效编制过程中更加科学规范。</w:t>
      </w:r>
    </w:p>
    <w:p>
      <w:pPr>
        <w:pageBreakBefore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预算编制工作与业务工作紧密结合，增强预算编制准确性。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加强预算执行和绩效考核，将绩效考核工作贯穿业务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工作的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全过程。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对制度完善、人员管理、资产配置等的措施：</w:t>
      </w:r>
    </w:p>
    <w:p>
      <w:pPr>
        <w:pageBreakBefore w:val="0"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结合实际工作，不断完成绩效管理制度。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2、积极宣传预算绩效管理工作，提高绩效意识。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其他措施：</w:t>
      </w:r>
    </w:p>
    <w:p>
      <w:pPr>
        <w:pageBreakBefore w:val="0"/>
        <w:numPr>
          <w:ilvl w:val="0"/>
          <w:numId w:val="7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提高开源节流力度，保障机关运行。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2、推进绩效管理工作深入开展。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3" w:firstLineChars="200"/>
        <w:jc w:val="both"/>
        <w:textAlignment w:val="auto"/>
        <w:rPr>
          <w:rFonts w:eastAsia="仿宋_GB2312"/>
          <w:b/>
          <w:bCs/>
          <w:sz w:val="32"/>
          <w:szCs w:val="32"/>
          <w:lang w:eastAsia="zh-CN"/>
        </w:rPr>
      </w:pPr>
      <w:r>
        <w:rPr>
          <w:rFonts w:eastAsia="仿宋_GB2312"/>
          <w:b/>
          <w:bCs/>
          <w:sz w:val="32"/>
          <w:szCs w:val="32"/>
          <w:lang w:eastAsia="zh-CN"/>
        </w:rPr>
        <w:t>四、绩效自评结果拟应用和公开情况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1、我单位根据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整体绩效自评表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绩效评定指标对各项目量化评价，自评指标得分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86.75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2、将项目支出后的实际状况与项目申报的绩效目标进行对比分析。按项目实际支出和项目申报绩效目标进行对比分析自评得分100分，所有项目均与批复下达相符。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00" w:lineRule="exact"/>
        <w:ind w:firstLine="643" w:firstLineChars="200"/>
        <w:jc w:val="both"/>
        <w:textAlignment w:val="auto"/>
        <w:rPr>
          <w:rFonts w:eastAsia="仿宋_GB2312"/>
          <w:b/>
          <w:bCs/>
          <w:sz w:val="32"/>
          <w:szCs w:val="32"/>
          <w:lang w:eastAsia="zh-CN"/>
        </w:rPr>
      </w:pPr>
    </w:p>
    <w:p>
      <w:pPr>
        <w:rPr>
          <w:rFonts w:eastAsia="仿宋_GB2312"/>
          <w:sz w:val="28"/>
          <w:szCs w:val="28"/>
          <w:lang w:val="zh-CN" w:eastAsia="zh-CN"/>
        </w:rPr>
      </w:pPr>
    </w:p>
    <w:p>
      <w:pPr>
        <w:textAlignment w:val="center"/>
        <w:rPr>
          <w:rFonts w:eastAsia="仿宋_GB2312"/>
          <w:sz w:val="28"/>
          <w:szCs w:val="28"/>
          <w:lang w:val="zh-CN" w:eastAsia="zh-CN"/>
        </w:rPr>
      </w:pPr>
    </w:p>
    <w:p>
      <w:pPr>
        <w:rPr>
          <w:lang w:eastAsia="zh-CN"/>
        </w:rPr>
      </w:pPr>
    </w:p>
    <w:sectPr>
      <w:pgSz w:w="11907" w:h="16840"/>
      <w:pgMar w:top="1418" w:right="1531" w:bottom="1418" w:left="153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9710BA"/>
    <w:multiLevelType w:val="singleLevel"/>
    <w:tmpl w:val="9D9710B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C38082E"/>
    <w:multiLevelType w:val="singleLevel"/>
    <w:tmpl w:val="BC38082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13374A1"/>
    <w:multiLevelType w:val="singleLevel"/>
    <w:tmpl w:val="C13374A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C219BFA3"/>
    <w:multiLevelType w:val="singleLevel"/>
    <w:tmpl w:val="C219BFA3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F74E1528"/>
    <w:multiLevelType w:val="singleLevel"/>
    <w:tmpl w:val="F74E152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0CB9E47E"/>
    <w:multiLevelType w:val="singleLevel"/>
    <w:tmpl w:val="0CB9E47E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787B4F6B"/>
    <w:multiLevelType w:val="singleLevel"/>
    <w:tmpl w:val="787B4F6B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A9"/>
    <w:rsid w:val="00647DDB"/>
    <w:rsid w:val="006B7CA9"/>
    <w:rsid w:val="0108195C"/>
    <w:rsid w:val="010D38D1"/>
    <w:rsid w:val="017D5F62"/>
    <w:rsid w:val="01C05BBE"/>
    <w:rsid w:val="02C209E6"/>
    <w:rsid w:val="02E53A20"/>
    <w:rsid w:val="035704F7"/>
    <w:rsid w:val="037A387C"/>
    <w:rsid w:val="03893611"/>
    <w:rsid w:val="04800037"/>
    <w:rsid w:val="05140597"/>
    <w:rsid w:val="06280B95"/>
    <w:rsid w:val="065C12B5"/>
    <w:rsid w:val="066B5C13"/>
    <w:rsid w:val="07230A9A"/>
    <w:rsid w:val="07F65BC9"/>
    <w:rsid w:val="08825236"/>
    <w:rsid w:val="089830E9"/>
    <w:rsid w:val="08DD63AB"/>
    <w:rsid w:val="093862E0"/>
    <w:rsid w:val="0A0C02C4"/>
    <w:rsid w:val="0B2272D2"/>
    <w:rsid w:val="0B8B685E"/>
    <w:rsid w:val="0C192F74"/>
    <w:rsid w:val="0C6A3A4A"/>
    <w:rsid w:val="0C831BF1"/>
    <w:rsid w:val="0C8F1DE9"/>
    <w:rsid w:val="0C9653F9"/>
    <w:rsid w:val="0D505BDA"/>
    <w:rsid w:val="0D54780A"/>
    <w:rsid w:val="0E36212C"/>
    <w:rsid w:val="0E51485B"/>
    <w:rsid w:val="0EA37EC0"/>
    <w:rsid w:val="0EE046E7"/>
    <w:rsid w:val="0FFC47F9"/>
    <w:rsid w:val="10A011F6"/>
    <w:rsid w:val="10D45EA5"/>
    <w:rsid w:val="10FC16D8"/>
    <w:rsid w:val="11777E4F"/>
    <w:rsid w:val="11F22AB4"/>
    <w:rsid w:val="121A15AA"/>
    <w:rsid w:val="127912AD"/>
    <w:rsid w:val="132F4BE3"/>
    <w:rsid w:val="134236DF"/>
    <w:rsid w:val="1348516D"/>
    <w:rsid w:val="13642E9E"/>
    <w:rsid w:val="137E05A8"/>
    <w:rsid w:val="13D2041C"/>
    <w:rsid w:val="151A4FCA"/>
    <w:rsid w:val="173208D3"/>
    <w:rsid w:val="17812523"/>
    <w:rsid w:val="18DF523B"/>
    <w:rsid w:val="19047036"/>
    <w:rsid w:val="19315F5E"/>
    <w:rsid w:val="1A2B5882"/>
    <w:rsid w:val="1A9E5076"/>
    <w:rsid w:val="1AD43568"/>
    <w:rsid w:val="1AF3591E"/>
    <w:rsid w:val="1B733C5F"/>
    <w:rsid w:val="1BD80DC7"/>
    <w:rsid w:val="1D163120"/>
    <w:rsid w:val="1D1E6D5F"/>
    <w:rsid w:val="1D8B1574"/>
    <w:rsid w:val="1EBF5864"/>
    <w:rsid w:val="1ED40290"/>
    <w:rsid w:val="1F7F21E8"/>
    <w:rsid w:val="1F9B1F8C"/>
    <w:rsid w:val="21246E9E"/>
    <w:rsid w:val="225D0C74"/>
    <w:rsid w:val="22666C91"/>
    <w:rsid w:val="227823BA"/>
    <w:rsid w:val="228B22A8"/>
    <w:rsid w:val="238236AD"/>
    <w:rsid w:val="23DE5F58"/>
    <w:rsid w:val="246F483B"/>
    <w:rsid w:val="24803078"/>
    <w:rsid w:val="277A6226"/>
    <w:rsid w:val="27FC686F"/>
    <w:rsid w:val="289D1D9D"/>
    <w:rsid w:val="29134C40"/>
    <w:rsid w:val="293B0564"/>
    <w:rsid w:val="29E605DD"/>
    <w:rsid w:val="2A3539D7"/>
    <w:rsid w:val="2A6A1411"/>
    <w:rsid w:val="2A8D63A0"/>
    <w:rsid w:val="2AC70992"/>
    <w:rsid w:val="2B4F085B"/>
    <w:rsid w:val="2B7D6EF9"/>
    <w:rsid w:val="2C202526"/>
    <w:rsid w:val="2CB72FFA"/>
    <w:rsid w:val="2CE642D3"/>
    <w:rsid w:val="2D7733C0"/>
    <w:rsid w:val="2D78145D"/>
    <w:rsid w:val="2E1B7026"/>
    <w:rsid w:val="2FDD2E1D"/>
    <w:rsid w:val="30A80D1F"/>
    <w:rsid w:val="30BB2F7D"/>
    <w:rsid w:val="31007456"/>
    <w:rsid w:val="31183AB2"/>
    <w:rsid w:val="31351EE1"/>
    <w:rsid w:val="32820F39"/>
    <w:rsid w:val="32B76E0A"/>
    <w:rsid w:val="32DB57FF"/>
    <w:rsid w:val="333A1C87"/>
    <w:rsid w:val="33F21003"/>
    <w:rsid w:val="34C4359A"/>
    <w:rsid w:val="34CB5E94"/>
    <w:rsid w:val="356E658D"/>
    <w:rsid w:val="35BB7F27"/>
    <w:rsid w:val="36423745"/>
    <w:rsid w:val="36C51DBC"/>
    <w:rsid w:val="370D2F26"/>
    <w:rsid w:val="37CE3465"/>
    <w:rsid w:val="385D3F1E"/>
    <w:rsid w:val="38A90363"/>
    <w:rsid w:val="38F87AB0"/>
    <w:rsid w:val="39553FE9"/>
    <w:rsid w:val="39685BBC"/>
    <w:rsid w:val="398C3CEC"/>
    <w:rsid w:val="3A9043D7"/>
    <w:rsid w:val="3AD85E8C"/>
    <w:rsid w:val="3B4B68B3"/>
    <w:rsid w:val="3BDE4A00"/>
    <w:rsid w:val="3C1D41A3"/>
    <w:rsid w:val="3C2B2335"/>
    <w:rsid w:val="3C397434"/>
    <w:rsid w:val="3C880050"/>
    <w:rsid w:val="3CE41D9B"/>
    <w:rsid w:val="3D4A7A6D"/>
    <w:rsid w:val="3DE1317F"/>
    <w:rsid w:val="3E4930CA"/>
    <w:rsid w:val="3F275C2A"/>
    <w:rsid w:val="3F3C096D"/>
    <w:rsid w:val="410A1802"/>
    <w:rsid w:val="4144025E"/>
    <w:rsid w:val="420F04CB"/>
    <w:rsid w:val="425235F1"/>
    <w:rsid w:val="426313D5"/>
    <w:rsid w:val="429B15C0"/>
    <w:rsid w:val="436C3E94"/>
    <w:rsid w:val="437B66B3"/>
    <w:rsid w:val="454553FB"/>
    <w:rsid w:val="46984878"/>
    <w:rsid w:val="47012EED"/>
    <w:rsid w:val="47E93801"/>
    <w:rsid w:val="48426686"/>
    <w:rsid w:val="48D474B3"/>
    <w:rsid w:val="49573980"/>
    <w:rsid w:val="49911B0A"/>
    <w:rsid w:val="499C5681"/>
    <w:rsid w:val="49FA052E"/>
    <w:rsid w:val="4ADE30DC"/>
    <w:rsid w:val="4B0C7034"/>
    <w:rsid w:val="4B9915F9"/>
    <w:rsid w:val="4BC8516B"/>
    <w:rsid w:val="4BDE39B2"/>
    <w:rsid w:val="4C8A1D40"/>
    <w:rsid w:val="4C8C631A"/>
    <w:rsid w:val="4CCC69A7"/>
    <w:rsid w:val="4CEE5DDA"/>
    <w:rsid w:val="4D031FD7"/>
    <w:rsid w:val="4DAE5E90"/>
    <w:rsid w:val="4E7C4462"/>
    <w:rsid w:val="4ECB6742"/>
    <w:rsid w:val="4F0455D3"/>
    <w:rsid w:val="4F4C5B82"/>
    <w:rsid w:val="4F6C2167"/>
    <w:rsid w:val="4FD004EA"/>
    <w:rsid w:val="50141BE2"/>
    <w:rsid w:val="504C2E1F"/>
    <w:rsid w:val="50A03211"/>
    <w:rsid w:val="50AD68D7"/>
    <w:rsid w:val="510F0E50"/>
    <w:rsid w:val="51697945"/>
    <w:rsid w:val="518B0B66"/>
    <w:rsid w:val="51C50F2B"/>
    <w:rsid w:val="51DC6A81"/>
    <w:rsid w:val="52A151DF"/>
    <w:rsid w:val="52AB6E71"/>
    <w:rsid w:val="537D7761"/>
    <w:rsid w:val="54263CAC"/>
    <w:rsid w:val="544E0A99"/>
    <w:rsid w:val="54EF2473"/>
    <w:rsid w:val="555866EC"/>
    <w:rsid w:val="5568472C"/>
    <w:rsid w:val="55CD72A8"/>
    <w:rsid w:val="56D06C1E"/>
    <w:rsid w:val="570840F5"/>
    <w:rsid w:val="5753032C"/>
    <w:rsid w:val="57992D8B"/>
    <w:rsid w:val="579964B9"/>
    <w:rsid w:val="57AD417E"/>
    <w:rsid w:val="57F479E9"/>
    <w:rsid w:val="585E5CA8"/>
    <w:rsid w:val="586D1E27"/>
    <w:rsid w:val="58D07439"/>
    <w:rsid w:val="592E7F4E"/>
    <w:rsid w:val="593D1C8E"/>
    <w:rsid w:val="59C260F2"/>
    <w:rsid w:val="59F26087"/>
    <w:rsid w:val="5AE824A2"/>
    <w:rsid w:val="5B362FAF"/>
    <w:rsid w:val="5B522317"/>
    <w:rsid w:val="5C0E5FBC"/>
    <w:rsid w:val="5C376FBB"/>
    <w:rsid w:val="5D652BF0"/>
    <w:rsid w:val="5D653DCD"/>
    <w:rsid w:val="5D6E171D"/>
    <w:rsid w:val="5E4F00DD"/>
    <w:rsid w:val="5EC07CA5"/>
    <w:rsid w:val="5F512496"/>
    <w:rsid w:val="5F772E7F"/>
    <w:rsid w:val="5F8B70F3"/>
    <w:rsid w:val="5FD07B5E"/>
    <w:rsid w:val="601F7095"/>
    <w:rsid w:val="609916F7"/>
    <w:rsid w:val="60D71BDE"/>
    <w:rsid w:val="61907FAA"/>
    <w:rsid w:val="61EA7E34"/>
    <w:rsid w:val="623D0D4B"/>
    <w:rsid w:val="62CF14A6"/>
    <w:rsid w:val="62E21FF4"/>
    <w:rsid w:val="62EF68B2"/>
    <w:rsid w:val="630716AE"/>
    <w:rsid w:val="631E1166"/>
    <w:rsid w:val="634831DC"/>
    <w:rsid w:val="637042A0"/>
    <w:rsid w:val="63B05573"/>
    <w:rsid w:val="640C6CE6"/>
    <w:rsid w:val="64BE4DB6"/>
    <w:rsid w:val="654D71F6"/>
    <w:rsid w:val="65816681"/>
    <w:rsid w:val="65BD3161"/>
    <w:rsid w:val="65CB5115"/>
    <w:rsid w:val="660F791F"/>
    <w:rsid w:val="66744E50"/>
    <w:rsid w:val="67B76593"/>
    <w:rsid w:val="680C2573"/>
    <w:rsid w:val="68A6394D"/>
    <w:rsid w:val="69D4145D"/>
    <w:rsid w:val="6AAE430B"/>
    <w:rsid w:val="6B2B5D20"/>
    <w:rsid w:val="6B9C699A"/>
    <w:rsid w:val="6BE562E7"/>
    <w:rsid w:val="6C8628EB"/>
    <w:rsid w:val="6D434FE2"/>
    <w:rsid w:val="6D72483E"/>
    <w:rsid w:val="6DF9431F"/>
    <w:rsid w:val="6E9A3E41"/>
    <w:rsid w:val="6F0E448F"/>
    <w:rsid w:val="6F9E0AE5"/>
    <w:rsid w:val="70A644E6"/>
    <w:rsid w:val="714E6F8B"/>
    <w:rsid w:val="715C3750"/>
    <w:rsid w:val="716339D7"/>
    <w:rsid w:val="721C5C66"/>
    <w:rsid w:val="729B6122"/>
    <w:rsid w:val="72A044AE"/>
    <w:rsid w:val="734A6739"/>
    <w:rsid w:val="747C2146"/>
    <w:rsid w:val="75EB1719"/>
    <w:rsid w:val="76000150"/>
    <w:rsid w:val="761F3516"/>
    <w:rsid w:val="762F3589"/>
    <w:rsid w:val="76852760"/>
    <w:rsid w:val="76C61D84"/>
    <w:rsid w:val="76F557D4"/>
    <w:rsid w:val="77126306"/>
    <w:rsid w:val="77D941E9"/>
    <w:rsid w:val="78673B0D"/>
    <w:rsid w:val="78A6492A"/>
    <w:rsid w:val="79587AC7"/>
    <w:rsid w:val="79764322"/>
    <w:rsid w:val="79B74589"/>
    <w:rsid w:val="7A0842F7"/>
    <w:rsid w:val="7A127286"/>
    <w:rsid w:val="7A280C2A"/>
    <w:rsid w:val="7BC40945"/>
    <w:rsid w:val="7C666B5D"/>
    <w:rsid w:val="7CD60A0D"/>
    <w:rsid w:val="7CF45919"/>
    <w:rsid w:val="7D021353"/>
    <w:rsid w:val="7D4358BB"/>
    <w:rsid w:val="7D805907"/>
    <w:rsid w:val="7D830EBC"/>
    <w:rsid w:val="7DDA5778"/>
    <w:rsid w:val="7E713CE2"/>
    <w:rsid w:val="7E963FD8"/>
    <w:rsid w:val="7F4B2649"/>
    <w:rsid w:val="7FBB3B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1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qFormat/>
    <w:uiPriority w:val="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qFormat/>
    <w:uiPriority w:val="0"/>
    <w:rPr>
      <w:rFonts w:ascii="Calibri" w:hAnsi="Calibri"/>
      <w:b/>
      <w:bCs/>
      <w:kern w:val="44"/>
      <w:sz w:val="44"/>
      <w:szCs w:val="24"/>
      <w:lang w:eastAsia="en-US"/>
    </w:rPr>
  </w:style>
  <w:style w:type="character" w:customStyle="1" w:styleId="8">
    <w:name w:val="font11"/>
    <w:qFormat/>
    <w:uiPriority w:val="0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9">
    <w:name w:val="font14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1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714</Words>
  <Characters>4071</Characters>
  <Lines>33</Lines>
  <Paragraphs>9</Paragraphs>
  <TotalTime>23</TotalTime>
  <ScaleCrop>false</ScaleCrop>
  <LinksUpToDate>false</LinksUpToDate>
  <CharactersWithSpaces>4776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2020-11-20T02:46:00Z</dcterms:created>
  <dc:creator>NTKO</dc:creator>
  <cp:lastModifiedBy>Lenovo</cp:lastModifiedBy>
  <cp:lastPrinted>2020-11-26T10:23:00Z</cp:lastPrinted>
  <dcterms:modified xsi:type="dcterms:W3CDTF">2021-07-12T04:37:33Z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